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74515">
      <w:pPr>
        <w:keepNext w:val="0"/>
        <w:keepLines w:val="0"/>
        <w:pageBreakBefore w:val="0"/>
        <w:shd w:val="clear" w:color="auto" w:fill="FFFFFF"/>
        <w:kinsoku/>
        <w:wordWrap/>
        <w:overflowPunct/>
        <w:autoSpaceDE/>
        <w:autoSpaceDN/>
        <w:bidi w:val="0"/>
        <w:adjustRightInd/>
        <w:snapToGrid/>
        <w:spacing w:line="560" w:lineRule="exact"/>
        <w:textAlignment w:val="auto"/>
        <w:rPr>
          <w:rFonts w:ascii="仿宋_GB2312" w:eastAsia="仿宋_GB2312"/>
          <w:sz w:val="44"/>
          <w:szCs w:val="44"/>
        </w:rPr>
      </w:pPr>
      <w:r>
        <w:rPr>
          <w:rStyle w:val="6"/>
          <w:rFonts w:hint="eastAsia" w:ascii="仿宋_GB2312" w:hAnsi="仿宋" w:eastAsia="仿宋_GB2312"/>
          <w:sz w:val="32"/>
          <w:szCs w:val="32"/>
        </w:rPr>
        <w:t>附件：</w:t>
      </w:r>
    </w:p>
    <w:p w14:paraId="54F905AA">
      <w:pPr>
        <w:keepNext w:val="0"/>
        <w:keepLines w:val="0"/>
        <w:pageBreakBefore w:val="0"/>
        <w:shd w:val="clear" w:color="auto" w:fill="FFFFFF"/>
        <w:kinsoku/>
        <w:wordWrap/>
        <w:overflowPunct/>
        <w:autoSpaceDE/>
        <w:autoSpaceDN/>
        <w:bidi w:val="0"/>
        <w:adjustRightInd/>
        <w:snapToGrid/>
        <w:spacing w:line="560" w:lineRule="exact"/>
        <w:jc w:val="center"/>
        <w:textAlignment w:val="auto"/>
        <w:rPr>
          <w:rFonts w:hint="eastAsia" w:ascii="方正小标宋简体" w:hAnsi="宋体" w:eastAsia="方正小标宋简体"/>
          <w:sz w:val="44"/>
          <w:szCs w:val="44"/>
        </w:rPr>
      </w:pPr>
    </w:p>
    <w:p w14:paraId="5D0822A6">
      <w:pPr>
        <w:keepNext w:val="0"/>
        <w:keepLines w:val="0"/>
        <w:pageBreakBefore w:val="0"/>
        <w:shd w:val="clear" w:color="auto" w:fill="FFFFFF"/>
        <w:kinsoku/>
        <w:wordWrap/>
        <w:overflowPunct/>
        <w:autoSpaceDE/>
        <w:autoSpaceDN/>
        <w:bidi w:val="0"/>
        <w:adjustRightInd/>
        <w:snapToGrid/>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中评协关于《资产评估机构从事证券服务</w:t>
      </w:r>
    </w:p>
    <w:p w14:paraId="56EB6FA5">
      <w:pPr>
        <w:keepNext w:val="0"/>
        <w:keepLines w:val="0"/>
        <w:pageBreakBefore w:val="0"/>
        <w:shd w:val="clear" w:color="auto" w:fill="FFFFFF"/>
        <w:kinsoku/>
        <w:wordWrap/>
        <w:overflowPunct/>
        <w:autoSpaceDE/>
        <w:autoSpaceDN/>
        <w:bidi w:val="0"/>
        <w:adjustRightInd/>
        <w:snapToGrid/>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业务自律监督管理办法（征求意见稿）》</w:t>
      </w:r>
    </w:p>
    <w:p w14:paraId="4B51115A">
      <w:pPr>
        <w:keepNext w:val="0"/>
        <w:keepLines w:val="0"/>
        <w:pageBreakBefore w:val="0"/>
        <w:shd w:val="clear" w:color="auto" w:fill="FFFFFF"/>
        <w:kinsoku/>
        <w:wordWrap/>
        <w:overflowPunct/>
        <w:autoSpaceDE/>
        <w:autoSpaceDN/>
        <w:bidi w:val="0"/>
        <w:adjustRightInd/>
        <w:snapToGrid/>
        <w:spacing w:line="560" w:lineRule="exact"/>
        <w:jc w:val="center"/>
        <w:textAlignment w:val="auto"/>
        <w:rPr>
          <w:rStyle w:val="6"/>
          <w:rFonts w:ascii="方正小标宋简体" w:hAnsi="仿宋" w:eastAsia="方正小标宋简体" w:cs="宋体"/>
          <w:bCs/>
          <w:kern w:val="0"/>
          <w:sz w:val="32"/>
          <w:szCs w:val="32"/>
        </w:rPr>
      </w:pPr>
      <w:r>
        <w:rPr>
          <w:rFonts w:hint="eastAsia" w:ascii="方正小标宋简体" w:hAnsi="宋体" w:eastAsia="方正小标宋简体"/>
          <w:sz w:val="44"/>
          <w:szCs w:val="44"/>
        </w:rPr>
        <w:t>征求意见的通知</w:t>
      </w:r>
    </w:p>
    <w:p w14:paraId="37865964">
      <w:pPr>
        <w:pStyle w:val="3"/>
        <w:keepNext w:val="0"/>
        <w:keepLines w:val="0"/>
        <w:pageBreakBefore w:val="0"/>
        <w:shd w:val="clear" w:color="auto" w:fill="FFFFFF"/>
        <w:kinsoku/>
        <w:wordWrap/>
        <w:overflowPunct/>
        <w:autoSpaceDE/>
        <w:autoSpaceDN/>
        <w:bidi w:val="0"/>
        <w:adjustRightInd/>
        <w:snapToGrid/>
        <w:spacing w:before="0" w:beforeAutospacing="0" w:after="0" w:afterAutospacing="0" w:line="560" w:lineRule="exact"/>
        <w:jc w:val="center"/>
        <w:textAlignment w:val="auto"/>
        <w:rPr>
          <w:rStyle w:val="6"/>
          <w:rFonts w:ascii="仿宋_GB2312" w:hAnsi="仿宋" w:eastAsia="仿宋_GB2312"/>
          <w:bCs/>
          <w:sz w:val="32"/>
          <w:szCs w:val="32"/>
        </w:rPr>
      </w:pPr>
      <w:r>
        <w:rPr>
          <w:rStyle w:val="6"/>
          <w:rFonts w:hint="eastAsia" w:ascii="仿宋_GB2312" w:hAnsi="仿宋" w:eastAsia="仿宋_GB2312"/>
          <w:bCs/>
          <w:sz w:val="32"/>
          <w:szCs w:val="32"/>
        </w:rPr>
        <w:t>中评协办〔2024〕55 号</w:t>
      </w:r>
    </w:p>
    <w:p w14:paraId="44E3F661">
      <w:pPr>
        <w:pStyle w:val="3"/>
        <w:keepNext w:val="0"/>
        <w:keepLines w:val="0"/>
        <w:pageBreakBefore w:val="0"/>
        <w:shd w:val="clear" w:color="auto" w:fill="FFFFFF"/>
        <w:kinsoku/>
        <w:wordWrap/>
        <w:overflowPunct/>
        <w:autoSpaceDE/>
        <w:autoSpaceDN/>
        <w:bidi w:val="0"/>
        <w:adjustRightInd/>
        <w:snapToGrid/>
        <w:spacing w:before="0" w:beforeAutospacing="0" w:after="0" w:afterAutospacing="0" w:line="560" w:lineRule="exact"/>
        <w:jc w:val="both"/>
        <w:textAlignment w:val="auto"/>
        <w:rPr>
          <w:rStyle w:val="6"/>
          <w:rFonts w:hint="eastAsia" w:ascii="仿宋_GB2312" w:hAnsi="仿宋" w:eastAsia="仿宋_GB2312"/>
          <w:bCs/>
          <w:sz w:val="32"/>
          <w:szCs w:val="32"/>
        </w:rPr>
      </w:pPr>
      <w:r>
        <w:rPr>
          <w:rStyle w:val="6"/>
          <w:rFonts w:hint="eastAsia" w:ascii="仿宋_GB2312" w:hAnsi="仿宋" w:eastAsia="仿宋_GB2312"/>
          <w:bCs/>
          <w:sz w:val="32"/>
          <w:szCs w:val="32"/>
        </w:rPr>
        <w:t>各省、自治区、直辖市、计划单列市资产评估协会（有关注册会计师协会）：</w:t>
      </w:r>
    </w:p>
    <w:p w14:paraId="455229AB">
      <w:pPr>
        <w:pStyle w:val="3"/>
        <w:keepNext w:val="0"/>
        <w:keepLines w:val="0"/>
        <w:pageBreakBefore w:val="0"/>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textAlignment w:val="auto"/>
        <w:rPr>
          <w:rStyle w:val="6"/>
          <w:rFonts w:hint="eastAsia" w:ascii="仿宋_GB2312" w:hAnsi="仿宋" w:eastAsia="仿宋_GB2312"/>
          <w:bCs/>
          <w:sz w:val="32"/>
          <w:szCs w:val="32"/>
        </w:rPr>
      </w:pPr>
      <w:r>
        <w:rPr>
          <w:rStyle w:val="6"/>
          <w:rFonts w:hint="eastAsia" w:ascii="仿宋_GB2312" w:hAnsi="仿宋" w:eastAsia="仿宋_GB2312"/>
          <w:bCs/>
          <w:sz w:val="32"/>
          <w:szCs w:val="32"/>
        </w:rPr>
        <w:t>为贯彻落实《中共中央办公厅 国务院办公厅关于进一步加强财会监督工作的意见》精神，进一步提升资产评估机构及其资产评估师从事证券服务业务的专业胜任能力，加强资产评估行业职业道德建设，提高行业公信力，根据《中华人民共和国资产评估法》《中华人民共和国证券法》等有关规定，中国资产评估协会起草了《资产评估机构从事证券服务业务自律监督管理办法（征求意见稿）》。现印发你们，请组织本地区会员提出意见建议，收集汇总后于2024年8月1日前反馈至联系人电子邮箱。</w:t>
      </w:r>
    </w:p>
    <w:p w14:paraId="02B9F36A">
      <w:pPr>
        <w:pStyle w:val="3"/>
        <w:keepNext w:val="0"/>
        <w:keepLines w:val="0"/>
        <w:pageBreakBefore w:val="0"/>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textAlignment w:val="auto"/>
        <w:rPr>
          <w:rStyle w:val="6"/>
          <w:rFonts w:hint="eastAsia" w:ascii="仿宋_GB2312" w:hAnsi="仿宋" w:eastAsia="仿宋_GB2312"/>
          <w:bCs/>
          <w:sz w:val="32"/>
          <w:szCs w:val="32"/>
        </w:rPr>
      </w:pPr>
      <w:r>
        <w:rPr>
          <w:rStyle w:val="6"/>
          <w:rFonts w:hint="eastAsia" w:ascii="仿宋_GB2312" w:hAnsi="仿宋" w:eastAsia="仿宋_GB2312"/>
          <w:bCs/>
          <w:sz w:val="32"/>
          <w:szCs w:val="32"/>
        </w:rPr>
        <w:t>联系人：姜晓双；</w:t>
      </w:r>
    </w:p>
    <w:p w14:paraId="62B8CA2B">
      <w:pPr>
        <w:pStyle w:val="3"/>
        <w:keepNext w:val="0"/>
        <w:keepLines w:val="0"/>
        <w:pageBreakBefore w:val="0"/>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textAlignment w:val="auto"/>
        <w:rPr>
          <w:rStyle w:val="6"/>
          <w:rFonts w:hint="eastAsia" w:ascii="仿宋_GB2312" w:hAnsi="仿宋" w:eastAsia="仿宋_GB2312"/>
          <w:bCs/>
          <w:sz w:val="32"/>
          <w:szCs w:val="32"/>
        </w:rPr>
      </w:pPr>
      <w:r>
        <w:rPr>
          <w:rStyle w:val="6"/>
          <w:rFonts w:hint="eastAsia" w:ascii="仿宋_GB2312" w:hAnsi="仿宋" w:eastAsia="仿宋_GB2312"/>
          <w:bCs/>
          <w:sz w:val="32"/>
          <w:szCs w:val="32"/>
        </w:rPr>
        <w:t>联系电话：010-88339643；</w:t>
      </w:r>
    </w:p>
    <w:p w14:paraId="446758DD">
      <w:pPr>
        <w:pStyle w:val="3"/>
        <w:keepNext w:val="0"/>
        <w:keepLines w:val="0"/>
        <w:pageBreakBefore w:val="0"/>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textAlignment w:val="auto"/>
        <w:rPr>
          <w:rStyle w:val="6"/>
          <w:rFonts w:hint="eastAsia" w:ascii="仿宋_GB2312" w:hAnsi="仿宋" w:eastAsia="仿宋_GB2312"/>
          <w:bCs/>
          <w:sz w:val="32"/>
          <w:szCs w:val="32"/>
        </w:rPr>
      </w:pPr>
      <w:r>
        <w:rPr>
          <w:rStyle w:val="6"/>
          <w:rFonts w:hint="eastAsia" w:ascii="仿宋_GB2312" w:hAnsi="仿宋" w:eastAsia="仿宋_GB2312"/>
          <w:bCs/>
          <w:sz w:val="32"/>
          <w:szCs w:val="32"/>
        </w:rPr>
        <w:t>电子邮箱：huiyuan@cas.org.cn。</w:t>
      </w:r>
    </w:p>
    <w:p w14:paraId="251E92C7">
      <w:pPr>
        <w:pStyle w:val="3"/>
        <w:keepNext w:val="0"/>
        <w:keepLines w:val="0"/>
        <w:pageBreakBefore w:val="0"/>
        <w:shd w:val="clear" w:color="auto" w:fill="FFFFFF"/>
        <w:kinsoku/>
        <w:wordWrap/>
        <w:overflowPunct/>
        <w:autoSpaceDE/>
        <w:autoSpaceDN/>
        <w:bidi w:val="0"/>
        <w:adjustRightInd/>
        <w:snapToGrid/>
        <w:spacing w:before="0" w:beforeAutospacing="0" w:after="0" w:afterAutospacing="0" w:line="560" w:lineRule="exact"/>
        <w:ind w:firstLine="640" w:firstLineChars="200"/>
        <w:jc w:val="both"/>
        <w:textAlignment w:val="auto"/>
        <w:rPr>
          <w:rStyle w:val="6"/>
          <w:rFonts w:hint="eastAsia" w:ascii="仿宋_GB2312" w:hAnsi="仿宋" w:eastAsia="仿宋_GB2312"/>
          <w:bCs/>
          <w:sz w:val="32"/>
          <w:szCs w:val="32"/>
        </w:rPr>
      </w:pPr>
      <w:r>
        <w:rPr>
          <w:rStyle w:val="6"/>
          <w:rFonts w:hint="eastAsia" w:ascii="仿宋_GB2312" w:hAnsi="仿宋" w:eastAsia="仿宋_GB2312"/>
          <w:bCs/>
          <w:sz w:val="32"/>
          <w:szCs w:val="32"/>
        </w:rPr>
        <w:t>附件：资产评估机构从事证券服务业务自律监督管理办法（征求意见稿）</w:t>
      </w:r>
    </w:p>
    <w:p w14:paraId="4411A2B2">
      <w:pPr>
        <w:pStyle w:val="3"/>
        <w:keepNext w:val="0"/>
        <w:keepLines w:val="0"/>
        <w:pageBreakBefore w:val="0"/>
        <w:shd w:val="clear" w:color="auto" w:fill="FFFFFF"/>
        <w:kinsoku/>
        <w:wordWrap/>
        <w:overflowPunct/>
        <w:autoSpaceDE/>
        <w:autoSpaceDN/>
        <w:bidi w:val="0"/>
        <w:adjustRightInd/>
        <w:snapToGrid/>
        <w:spacing w:before="0" w:beforeAutospacing="0" w:after="0" w:afterAutospacing="0" w:line="560" w:lineRule="exact"/>
        <w:jc w:val="both"/>
        <w:textAlignment w:val="auto"/>
        <w:rPr>
          <w:rStyle w:val="6"/>
          <w:rFonts w:hint="eastAsia" w:ascii="仿宋_GB2312" w:hAnsi="仿宋" w:eastAsia="仿宋_GB2312"/>
          <w:bCs/>
          <w:sz w:val="32"/>
          <w:szCs w:val="32"/>
        </w:rPr>
      </w:pPr>
      <w:r>
        <w:rPr>
          <w:rStyle w:val="6"/>
          <w:rFonts w:hint="eastAsia" w:ascii="仿宋_GB2312" w:hAnsi="仿宋" w:eastAsia="仿宋_GB2312"/>
          <w:bCs/>
          <w:sz w:val="32"/>
          <w:szCs w:val="32"/>
        </w:rPr>
        <w:t xml:space="preserve">　　　　　　　　　　　　　  </w:t>
      </w:r>
      <w:r>
        <w:rPr>
          <w:rStyle w:val="6"/>
          <w:rFonts w:hint="eastAsia" w:ascii="仿宋_GB2312" w:hAnsi="仿宋" w:eastAsia="仿宋_GB2312"/>
          <w:bCs/>
          <w:sz w:val="32"/>
          <w:szCs w:val="32"/>
          <w:lang w:val="en-US" w:eastAsia="zh-CN"/>
        </w:rPr>
        <w:t xml:space="preserve">   </w:t>
      </w:r>
      <w:r>
        <w:rPr>
          <w:rStyle w:val="6"/>
          <w:rFonts w:hint="eastAsia" w:ascii="仿宋_GB2312" w:hAnsi="仿宋" w:eastAsia="仿宋_GB2312"/>
          <w:bCs/>
          <w:sz w:val="32"/>
          <w:szCs w:val="32"/>
        </w:rPr>
        <w:t>中国资产评估协会</w:t>
      </w:r>
    </w:p>
    <w:p w14:paraId="6A3506C4">
      <w:pPr>
        <w:pStyle w:val="3"/>
        <w:keepNext w:val="0"/>
        <w:keepLines w:val="0"/>
        <w:pageBreakBefore w:val="0"/>
        <w:shd w:val="clear" w:color="auto" w:fill="FFFFFF"/>
        <w:kinsoku/>
        <w:wordWrap/>
        <w:overflowPunct/>
        <w:autoSpaceDE/>
        <w:autoSpaceDN/>
        <w:bidi w:val="0"/>
        <w:adjustRightInd/>
        <w:snapToGrid/>
        <w:spacing w:before="0" w:beforeAutospacing="0" w:after="0" w:afterAutospacing="0" w:line="560" w:lineRule="exact"/>
        <w:jc w:val="both"/>
        <w:textAlignment w:val="auto"/>
        <w:rPr>
          <w:rFonts w:hint="eastAsia" w:ascii="黑体" w:hAnsi="黑体" w:eastAsia="黑体" w:cs="黑体"/>
          <w:szCs w:val="32"/>
        </w:rPr>
      </w:pPr>
      <w:r>
        <w:rPr>
          <w:rStyle w:val="6"/>
          <w:rFonts w:hint="eastAsia" w:ascii="仿宋_GB2312" w:hAnsi="仿宋" w:eastAsia="仿宋_GB2312"/>
          <w:bCs/>
          <w:sz w:val="32"/>
          <w:szCs w:val="32"/>
        </w:rPr>
        <w:t>　　　　　　　　　　　　　      2024年7月18日</w:t>
      </w:r>
    </w:p>
    <w:p w14:paraId="00C20F07">
      <w:pPr>
        <w:keepNext w:val="0"/>
        <w:keepLines w:val="0"/>
        <w:pageBreakBefore w:val="0"/>
        <w:kinsoku/>
        <w:wordWrap/>
        <w:overflowPunct/>
        <w:autoSpaceDE/>
        <w:autoSpaceDN/>
        <w:bidi w:val="0"/>
        <w:adjustRightInd/>
        <w:snapToGrid/>
        <w:spacing w:line="560" w:lineRule="exact"/>
        <w:textAlignment w:val="auto"/>
        <w:rPr>
          <w:rFonts w:ascii="黑体" w:hAnsi="黑体" w:eastAsia="黑体" w:cs="黑体"/>
          <w:sz w:val="32"/>
          <w:szCs w:val="32"/>
        </w:rPr>
      </w:pPr>
      <w:r>
        <w:rPr>
          <w:rFonts w:hint="eastAsia" w:ascii="黑体" w:hAnsi="黑体" w:eastAsia="黑体" w:cs="黑体"/>
          <w:sz w:val="32"/>
          <w:szCs w:val="32"/>
        </w:rPr>
        <w:t>附件</w:t>
      </w:r>
    </w:p>
    <w:p w14:paraId="3572061B">
      <w:pPr>
        <w:keepNext w:val="0"/>
        <w:keepLines w:val="0"/>
        <w:pageBreakBefore w:val="0"/>
        <w:kinsoku/>
        <w:wordWrap/>
        <w:overflowPunct/>
        <w:autoSpaceDE/>
        <w:autoSpaceDN/>
        <w:bidi w:val="0"/>
        <w:adjustRightInd/>
        <w:snapToGrid/>
        <w:spacing w:line="560" w:lineRule="exact"/>
        <w:jc w:val="center"/>
        <w:textAlignment w:val="auto"/>
        <w:rPr>
          <w:rFonts w:ascii="方正小标宋简体" w:hAnsi="华文中宋" w:eastAsia="方正小标宋简体"/>
          <w:sz w:val="32"/>
          <w:szCs w:val="32"/>
        </w:rPr>
      </w:pPr>
    </w:p>
    <w:p w14:paraId="0ACCBB92">
      <w:pPr>
        <w:keepNext w:val="0"/>
        <w:keepLines w:val="0"/>
        <w:pageBreakBefore w:val="0"/>
        <w:kinsoku/>
        <w:wordWrap/>
        <w:overflowPunct/>
        <w:autoSpaceDE/>
        <w:autoSpaceDN/>
        <w:bidi w:val="0"/>
        <w:adjustRightInd/>
        <w:snapToGrid/>
        <w:spacing w:line="560" w:lineRule="exact"/>
        <w:jc w:val="center"/>
        <w:textAlignment w:val="auto"/>
        <w:rPr>
          <w:rFonts w:ascii="方正小标宋简体" w:hAnsi="华文中宋" w:eastAsia="方正小标宋简体"/>
          <w:sz w:val="32"/>
          <w:szCs w:val="32"/>
        </w:rPr>
      </w:pPr>
      <w:r>
        <w:rPr>
          <w:rFonts w:hint="eastAsia" w:ascii="方正小标宋简体" w:hAnsi="华文中宋" w:eastAsia="方正小标宋简体"/>
          <w:sz w:val="44"/>
          <w:szCs w:val="44"/>
        </w:rPr>
        <w:t>资产评估机构</w:t>
      </w:r>
      <w:bookmarkStart w:id="0" w:name="_Hlk116407195"/>
      <w:r>
        <w:rPr>
          <w:rFonts w:hint="eastAsia" w:ascii="方正小标宋简体" w:hAnsi="华文中宋" w:eastAsia="方正小标宋简体"/>
          <w:sz w:val="44"/>
          <w:szCs w:val="44"/>
        </w:rPr>
        <w:t>从事</w:t>
      </w:r>
      <w:bookmarkEnd w:id="0"/>
      <w:r>
        <w:rPr>
          <w:rFonts w:hint="eastAsia" w:ascii="方正小标宋简体" w:hAnsi="华文中宋" w:eastAsia="方正小标宋简体"/>
          <w:sz w:val="44"/>
          <w:szCs w:val="44"/>
        </w:rPr>
        <w:t>证券服务业务</w:t>
      </w:r>
      <w:r>
        <w:rPr>
          <w:rFonts w:ascii="方正小标宋简体" w:hAnsi="华文中宋" w:eastAsia="方正小标宋简体"/>
          <w:sz w:val="44"/>
          <w:szCs w:val="44"/>
        </w:rPr>
        <w:br w:type="textWrapping"/>
      </w:r>
      <w:r>
        <w:rPr>
          <w:rFonts w:hint="eastAsia" w:ascii="方正小标宋简体" w:hAnsi="华文中宋" w:eastAsia="方正小标宋简体"/>
          <w:sz w:val="44"/>
          <w:szCs w:val="44"/>
        </w:rPr>
        <w:t>自律监督管理办法</w:t>
      </w:r>
    </w:p>
    <w:p w14:paraId="36133271">
      <w:pPr>
        <w:keepNext w:val="0"/>
        <w:keepLines w:val="0"/>
        <w:pageBreakBefore w:val="0"/>
        <w:kinsoku/>
        <w:wordWrap/>
        <w:overflowPunct/>
        <w:autoSpaceDE/>
        <w:autoSpaceDN/>
        <w:bidi w:val="0"/>
        <w:adjustRightInd/>
        <w:snapToGrid/>
        <w:spacing w:line="560"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14:paraId="1310688E">
      <w:pPr>
        <w:keepNext w:val="0"/>
        <w:keepLines w:val="0"/>
        <w:pageBreakBefore w:val="0"/>
        <w:kinsoku/>
        <w:wordWrap/>
        <w:overflowPunct/>
        <w:autoSpaceDE/>
        <w:autoSpaceDN/>
        <w:bidi w:val="0"/>
        <w:adjustRightInd/>
        <w:snapToGrid/>
        <w:spacing w:line="560" w:lineRule="exact"/>
        <w:jc w:val="center"/>
        <w:textAlignment w:val="auto"/>
        <w:rPr>
          <w:rFonts w:ascii="方正小标宋简体" w:hAnsi="方正小标宋简体" w:eastAsia="方正小标宋简体" w:cs="方正小标宋简体"/>
          <w:sz w:val="32"/>
          <w:szCs w:val="32"/>
        </w:rPr>
      </w:pPr>
    </w:p>
    <w:p w14:paraId="34C95BC0">
      <w:pPr>
        <w:pStyle w:val="7"/>
        <w:keepNext w:val="0"/>
        <w:keepLines w:val="0"/>
        <w:pageBreakBefore w:val="0"/>
        <w:numPr>
          <w:ilvl w:val="0"/>
          <w:numId w:val="0"/>
        </w:numPr>
        <w:kinsoku/>
        <w:wordWrap/>
        <w:overflowPunct/>
        <w:autoSpaceDE/>
        <w:autoSpaceDN/>
        <w:bidi w:val="0"/>
        <w:adjustRightInd/>
        <w:snapToGrid/>
        <w:spacing w:line="560" w:lineRule="exact"/>
        <w:ind w:leftChars="0"/>
        <w:jc w:val="center"/>
        <w:textAlignment w:val="auto"/>
        <w:rPr>
          <w:rFonts w:ascii="黑体" w:hAnsi="黑体" w:eastAsia="黑体" w:cs="仿宋_GB2312"/>
          <w:sz w:val="32"/>
          <w:szCs w:val="32"/>
        </w:rPr>
      </w:pPr>
      <w:r>
        <w:rPr>
          <w:rFonts w:hint="eastAsia" w:ascii="黑体" w:hAnsi="黑体" w:eastAsia="黑体" w:cs="仿宋_GB2312"/>
          <w:sz w:val="32"/>
          <w:szCs w:val="32"/>
          <w:lang w:val="en-US" w:eastAsia="zh-CN"/>
        </w:rPr>
        <w:t xml:space="preserve">第一章 </w:t>
      </w:r>
      <w:r>
        <w:rPr>
          <w:rFonts w:hint="eastAsia" w:ascii="黑体" w:hAnsi="黑体" w:eastAsia="黑体" w:cs="仿宋_GB2312"/>
          <w:sz w:val="32"/>
          <w:szCs w:val="32"/>
        </w:rPr>
        <w:t>总则</w:t>
      </w:r>
    </w:p>
    <w:p w14:paraId="18B0E2A0">
      <w:pPr>
        <w:pStyle w:val="7"/>
        <w:keepNext w:val="0"/>
        <w:keepLines w:val="0"/>
        <w:pageBreakBefore w:val="0"/>
        <w:kinsoku/>
        <w:wordWrap/>
        <w:overflowPunct/>
        <w:autoSpaceDE/>
        <w:autoSpaceDN/>
        <w:bidi w:val="0"/>
        <w:adjustRightInd/>
        <w:snapToGrid/>
        <w:spacing w:line="560" w:lineRule="exact"/>
        <w:ind w:left="1110" w:firstLine="0" w:firstLineChars="0"/>
        <w:textAlignment w:val="auto"/>
        <w:rPr>
          <w:rFonts w:ascii="黑体" w:hAnsi="黑体" w:eastAsia="黑体" w:cs="仿宋_GB2312"/>
          <w:sz w:val="32"/>
          <w:szCs w:val="32"/>
        </w:rPr>
      </w:pPr>
    </w:p>
    <w:p w14:paraId="70170DE8">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为贯彻落实《中共中央办公厅 国务院办公厅关于进一步加强财会监督工作的意见》精神，进一步提升资产评估机构及其资产评估师从事证券服务业务的专业胜任能力，加强资产评估行业职业道德建设，提高行业公信力，根据《中华人民共和国资产评估法》《中华人民共和国证券法》《资产评估机构从事证券服务业务备案办法》《中国资产评估协会章程》等有关规定，制定本办法。</w:t>
      </w:r>
    </w:p>
    <w:p w14:paraId="765B6C99">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本办法适用于接受中国资产评估协会（以下简称中评协）自律管理的资产评估机构及其资产评估师。</w:t>
      </w:r>
    </w:p>
    <w:p w14:paraId="548DF64B">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本办法所称证券服务业务，是指资产评估机构及其资产评估师依据法律法规、相关监管规则和资产评估准则开展的下列业务：</w:t>
      </w:r>
    </w:p>
    <w:p w14:paraId="5A1679ED">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（一）为证券发行、上市、挂牌、交易的主体及其控制的主体、并购标的等制作、出具资产评估报告；</w:t>
      </w:r>
    </w:p>
    <w:p w14:paraId="50AC2F18">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（二）为证券公司及其资产管理产品制作、出具资产评估报告；</w:t>
      </w:r>
    </w:p>
    <w:p w14:paraId="22E5015C">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（三）为基金期货经营机构及其发行的产品制作、出具资产评估报告；</w:t>
      </w:r>
    </w:p>
    <w:p w14:paraId="32C97CB3">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（四）财政部、中国证监会规定的其他业务。</w:t>
      </w:r>
    </w:p>
    <w:p w14:paraId="246ABF4C">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 w:name="_Hlk133248847"/>
      <w:r>
        <w:rPr>
          <w:rFonts w:hint="eastAsia" w:ascii="仿宋_GB2312" w:hAnsi="仿宋_GB2312" w:eastAsia="仿宋_GB2312" w:cs="仿宋_GB2312"/>
          <w:sz w:val="32"/>
          <w:szCs w:val="32"/>
        </w:rPr>
        <w:t>制作、出具上述资产评估报告属于《中华人民共和国资产评估法》规定的法定评估业务，资产评估机构不得以估值报告和价值咨询报告等专业报告替代资产评估报告。</w:t>
      </w:r>
    </w:p>
    <w:bookmarkEnd w:id="1"/>
    <w:p w14:paraId="4D120208">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中评协负责资产评估机构及其资产评估师从事证券服务业务的自律监督管理工作。各省、自治区、直辖市、计划单列市资产评估协会（以下简称地方协会）负责资产评估机构及其资产评估师日常自律管理工作，并根据中评协委托参与证</w:t>
      </w:r>
      <w:bookmarkStart w:id="2" w:name="_Hlk169600680"/>
      <w:r>
        <w:rPr>
          <w:rFonts w:hint="eastAsia" w:ascii="仿宋_GB2312" w:hAnsi="仿宋_GB2312" w:eastAsia="仿宋_GB2312" w:cs="仿宋_GB2312"/>
          <w:sz w:val="32"/>
          <w:szCs w:val="32"/>
        </w:rPr>
        <w:t>券服务业务的自律监督管理</w:t>
      </w:r>
      <w:bookmarkEnd w:id="2"/>
      <w:r>
        <w:rPr>
          <w:rFonts w:hint="eastAsia" w:ascii="仿宋_GB2312" w:hAnsi="仿宋_GB2312" w:eastAsia="仿宋_GB2312" w:cs="仿宋_GB2312"/>
          <w:sz w:val="32"/>
          <w:szCs w:val="32"/>
        </w:rPr>
        <w:t>工作。</w:t>
      </w:r>
    </w:p>
    <w:p w14:paraId="78F401AD">
      <w:pPr>
        <w:keepNext w:val="0"/>
        <w:keepLines w:val="0"/>
        <w:pageBreakBefore w:val="0"/>
        <w:kinsoku/>
        <w:wordWrap/>
        <w:overflowPunct/>
        <w:autoSpaceDE/>
        <w:autoSpaceDN/>
        <w:bidi w:val="0"/>
        <w:adjustRightInd/>
        <w:snapToGrid/>
        <w:spacing w:line="560" w:lineRule="exact"/>
        <w:jc w:val="center"/>
        <w:textAlignment w:val="auto"/>
        <w:rPr>
          <w:rFonts w:ascii="黑体" w:hAnsi="黑体" w:eastAsia="黑体" w:cs="仿宋_GB2312"/>
          <w:sz w:val="32"/>
          <w:szCs w:val="32"/>
        </w:rPr>
      </w:pPr>
    </w:p>
    <w:p w14:paraId="0FFA76EE">
      <w:pPr>
        <w:pStyle w:val="7"/>
        <w:keepNext w:val="0"/>
        <w:keepLines w:val="0"/>
        <w:pageBreakBefore w:val="0"/>
        <w:numPr>
          <w:ilvl w:val="0"/>
          <w:numId w:val="0"/>
        </w:numPr>
        <w:kinsoku/>
        <w:wordWrap/>
        <w:overflowPunct/>
        <w:autoSpaceDE/>
        <w:autoSpaceDN/>
        <w:bidi w:val="0"/>
        <w:adjustRightInd/>
        <w:snapToGrid/>
        <w:spacing w:line="560" w:lineRule="exact"/>
        <w:ind w:leftChars="0"/>
        <w:jc w:val="center"/>
        <w:textAlignment w:val="auto"/>
        <w:rPr>
          <w:rFonts w:ascii="黑体" w:hAnsi="黑体" w:eastAsia="黑体" w:cs="仿宋_GB2312"/>
          <w:sz w:val="32"/>
          <w:szCs w:val="32"/>
        </w:rPr>
      </w:pPr>
      <w:r>
        <w:rPr>
          <w:rFonts w:hint="eastAsia" w:ascii="黑体" w:hAnsi="黑体" w:eastAsia="黑体" w:cs="仿宋_GB2312"/>
          <w:sz w:val="32"/>
          <w:szCs w:val="32"/>
          <w:lang w:val="en-US" w:eastAsia="zh-CN"/>
        </w:rPr>
        <w:t xml:space="preserve">第二章 </w:t>
      </w:r>
      <w:r>
        <w:rPr>
          <w:rFonts w:hint="eastAsia" w:ascii="黑体" w:hAnsi="黑体" w:eastAsia="黑体" w:cs="仿宋_GB2312"/>
          <w:sz w:val="32"/>
          <w:szCs w:val="32"/>
        </w:rPr>
        <w:t>资产评估机构自主管理</w:t>
      </w:r>
    </w:p>
    <w:p w14:paraId="5B2F7146">
      <w:pPr>
        <w:pStyle w:val="7"/>
        <w:keepNext w:val="0"/>
        <w:keepLines w:val="0"/>
        <w:pageBreakBefore w:val="0"/>
        <w:kinsoku/>
        <w:wordWrap/>
        <w:overflowPunct/>
        <w:autoSpaceDE/>
        <w:autoSpaceDN/>
        <w:bidi w:val="0"/>
        <w:adjustRightInd/>
        <w:snapToGrid/>
        <w:spacing w:line="560" w:lineRule="exact"/>
        <w:ind w:left="1110" w:firstLine="0" w:firstLineChars="0"/>
        <w:textAlignment w:val="auto"/>
        <w:rPr>
          <w:rFonts w:ascii="黑体" w:hAnsi="黑体" w:eastAsia="黑体" w:cs="仿宋_GB2312"/>
          <w:sz w:val="32"/>
          <w:szCs w:val="32"/>
        </w:rPr>
      </w:pPr>
    </w:p>
    <w:p w14:paraId="1D53E180">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拟从事证券服务业务的资产评估机构，应当向财政部、中国证监会提出首次从事证券服务业务备案申请的同时向中评协报告。</w:t>
      </w:r>
    </w:p>
    <w:p w14:paraId="6590FFBB">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备案从事证券服务业务的资产评估机构（以下简称证券评估机构）应当充分认识从事证券服务业务存在的风险，严格遵守《中华人民共和国资产评估法》《中华人民共和国证券法》等法律法规及相关监管规则的规定，遵守资产评估准则，加强自主管理。</w:t>
      </w:r>
    </w:p>
    <w:p w14:paraId="60D716B7">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资产评估师从事证券服务业务，应当了解证券服务业务的特点，根据法律法规、相关监管规则和资产评估准则要求执业，勤勉尽责。</w:t>
      </w:r>
    </w:p>
    <w:p w14:paraId="6083CF24">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证券评估机构应当按照法律法规和行业规范的要求建立健全质量控制体系，出具证券服务业务资产评估报告（以下简称证券评估报告）应当履行不少于三级内部审核程序。内部审核程序和报告签名应当由不同的资产评估师分别履行。</w:t>
      </w:r>
    </w:p>
    <w:p w14:paraId="520EA5CD">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证券评估报告及其合同应当按规定在资产评估业务报备系统中如实填报，并选择业务类型为“证券期货评估业务”。</w:t>
      </w:r>
    </w:p>
    <w:p w14:paraId="22005559">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证券评估机构应当健全风险防控体系，建立风险控制组织和机制，完善各环节风险评估，更好识别风险，合理防范风险，积极应对风险。</w:t>
      </w:r>
    </w:p>
    <w:p w14:paraId="6DFA309A">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证券评估机构应当设立内部专门机构或岗位统一、集中处理函证业务（包括银行函证、企业函证等），不得由项目组或者资产评估师自行收发函证。</w:t>
      </w:r>
    </w:p>
    <w:p w14:paraId="16B6B61C">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证券评估机构应当将接受函证回函的地址和联系方式报送中评协备案，中评协统一将上述信息进行公示。</w:t>
      </w:r>
    </w:p>
    <w:p w14:paraId="4D6A666C">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证券评估机构应当加强对资产评估师的专业技术、职业道德等方面的培训，充分发挥资产评估师在证券服务业务中防范执业风险的作用。</w:t>
      </w:r>
    </w:p>
    <w:p w14:paraId="6923A200">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证券评估机构应当严格按照《中华人民共和国资产评估法》《资产评估机构职业风险基金管理办法》等规定提取职业风险基金或者购买职业责任保险。在承接证券服务业务时，要充分考虑《中华人民共和国证券法》有关违法处罚规定、自身承担风险的能力与项目风险的匹配性。</w:t>
      </w:r>
    </w:p>
    <w:p w14:paraId="77C53AC9">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证券评估机构应当在其官网首页醒目位置设立“从事证券服务业务信息披露”栏目，或者通过中评协官网，每年更新披露下列信息，其中数量信息以上年末数据为准：</w:t>
      </w:r>
    </w:p>
    <w:p w14:paraId="419BD10F">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（一）过去三年从事证券服务业务情况，包括客户数量、客户类别、涉及行业、业务类型等；</w:t>
      </w:r>
    </w:p>
    <w:p w14:paraId="0CC7AB7E">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（二）业务规模，包括收入总额、资产评估收入、证券服务业务收入等；</w:t>
      </w:r>
    </w:p>
    <w:p w14:paraId="2491F561">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（三）人员情况，包括股东（合伙人）名单，资产评估师名单、执业年限、从事证券期货评估业务年限，其他专业人员名单、专业资质，从业人员数量等；</w:t>
      </w:r>
    </w:p>
    <w:p w14:paraId="1E81CA47">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（四）诚信信息，包括近三年因执业行为受到刑事处罚、行政处罚、证券市场禁入、行政监管措施、自律惩戒、证券交易所纪律处分情况等；</w:t>
      </w:r>
    </w:p>
    <w:p w14:paraId="7470DD85">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（五）风险保障情况，包括注册资本（出资额）、截至上年末净资产额，职业责任保险单次赔偿限额、累计赔偿限额及覆盖区间，累计职业风险基金余额等；</w:t>
      </w:r>
    </w:p>
    <w:p w14:paraId="23FDE8BF">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（六）关联机构情况，包括本机构法人股东（合伙人）情况、出资其他资产评估机构情况、分支机构存续和撤销情况、实际控制人情况等；</w:t>
      </w:r>
    </w:p>
    <w:p w14:paraId="3201CA3E">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（七）专业资质情况，包括本机构从事其他评估专业领域情况等。</w:t>
      </w:r>
    </w:p>
    <w:p w14:paraId="77930C3A">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sz w:val="32"/>
          <w:szCs w:val="32"/>
        </w:rPr>
        <w:t>通过本机构官网披露信息的，证券评估机构应当于每年4月30日前，将本机构官网“从事证券服务业务信息披露”栏目链接报送中评协。</w:t>
      </w:r>
    </w:p>
    <w:p w14:paraId="2E20DDF5">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需要通过中评协官网披露信息的，证券评估机构应当于每年3月31日前，将本机构“从事证券服务业务信息披露”相关内容报送中评协。</w:t>
      </w:r>
    </w:p>
    <w:p w14:paraId="7983E160">
      <w:pPr>
        <w:keepNext w:val="0"/>
        <w:keepLines w:val="0"/>
        <w:pageBreakBefore w:val="0"/>
        <w:kinsoku/>
        <w:wordWrap/>
        <w:overflowPunct/>
        <w:autoSpaceDE/>
        <w:autoSpaceDN/>
        <w:bidi w:val="0"/>
        <w:adjustRightInd/>
        <w:snapToGrid/>
        <w:spacing w:line="560" w:lineRule="exact"/>
        <w:jc w:val="center"/>
        <w:textAlignment w:val="auto"/>
        <w:rPr>
          <w:rFonts w:ascii="黑体" w:hAnsi="黑体" w:eastAsia="黑体" w:cs="仿宋_GB2312"/>
          <w:sz w:val="32"/>
          <w:szCs w:val="32"/>
        </w:rPr>
      </w:pPr>
    </w:p>
    <w:p w14:paraId="0F382DBC">
      <w:pPr>
        <w:pStyle w:val="7"/>
        <w:keepNext w:val="0"/>
        <w:keepLines w:val="0"/>
        <w:pageBreakBefore w:val="0"/>
        <w:numPr>
          <w:ilvl w:val="0"/>
          <w:numId w:val="0"/>
        </w:numPr>
        <w:kinsoku/>
        <w:wordWrap/>
        <w:overflowPunct/>
        <w:autoSpaceDE/>
        <w:autoSpaceDN/>
        <w:bidi w:val="0"/>
        <w:adjustRightInd/>
        <w:snapToGrid/>
        <w:spacing w:line="560" w:lineRule="exact"/>
        <w:ind w:leftChars="0"/>
        <w:jc w:val="center"/>
        <w:textAlignment w:val="auto"/>
        <w:rPr>
          <w:rFonts w:ascii="黑体" w:hAnsi="黑体" w:eastAsia="黑体" w:cs="仿宋_GB2312"/>
          <w:sz w:val="32"/>
          <w:szCs w:val="32"/>
        </w:rPr>
      </w:pPr>
      <w:r>
        <w:rPr>
          <w:rFonts w:hint="eastAsia" w:ascii="黑体" w:hAnsi="黑体" w:eastAsia="黑体" w:cs="仿宋_GB2312"/>
          <w:sz w:val="32"/>
          <w:szCs w:val="32"/>
          <w:lang w:val="en-US" w:eastAsia="zh-CN"/>
        </w:rPr>
        <w:t xml:space="preserve">第三章 </w:t>
      </w:r>
      <w:r>
        <w:rPr>
          <w:rFonts w:hint="eastAsia" w:ascii="黑体" w:hAnsi="黑体" w:eastAsia="黑体" w:cs="仿宋_GB2312"/>
          <w:sz w:val="32"/>
          <w:szCs w:val="32"/>
        </w:rPr>
        <w:t>资产评估协会自律监管</w:t>
      </w:r>
    </w:p>
    <w:p w14:paraId="68E84C45">
      <w:pPr>
        <w:pStyle w:val="7"/>
        <w:keepNext w:val="0"/>
        <w:keepLines w:val="0"/>
        <w:pageBreakBefore w:val="0"/>
        <w:kinsoku/>
        <w:wordWrap/>
        <w:overflowPunct/>
        <w:autoSpaceDE/>
        <w:autoSpaceDN/>
        <w:bidi w:val="0"/>
        <w:adjustRightInd/>
        <w:snapToGrid/>
        <w:spacing w:line="560" w:lineRule="exact"/>
        <w:ind w:left="1110" w:firstLine="0" w:firstLineChars="0"/>
        <w:textAlignment w:val="auto"/>
        <w:rPr>
          <w:rFonts w:ascii="黑体" w:hAnsi="黑体" w:eastAsia="黑体" w:cs="仿宋_GB2312"/>
          <w:sz w:val="32"/>
          <w:szCs w:val="32"/>
        </w:rPr>
      </w:pPr>
    </w:p>
    <w:p w14:paraId="64A84669">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中评协组织开展对申请首次从事证券服务业务的资产评估机构专项检查。重点检查过去三年资产评估业务执业质量，质量控制体系情况，以及资产评估师任职资格、职业道德等情况。</w:t>
      </w:r>
    </w:p>
    <w:p w14:paraId="26B5F907">
      <w:pPr>
        <w:keepNext w:val="0"/>
        <w:keepLines w:val="0"/>
        <w:pageBreakBefore w:val="0"/>
        <w:kinsoku/>
        <w:wordWrap/>
        <w:overflowPunct/>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第十六条 </w:t>
      </w:r>
      <w:r>
        <w:rPr>
          <w:rFonts w:hint="eastAsia" w:ascii="仿宋_GB2312" w:hAnsi="仿宋_GB2312" w:eastAsia="仿宋_GB2312" w:cs="仿宋_GB2312"/>
          <w:sz w:val="32"/>
          <w:szCs w:val="32"/>
        </w:rPr>
        <w:t>中评协对申请首次从事证券服务业务的资产评估机构进行约谈，提示从事证券服务业务的复杂性和执业风险。</w:t>
      </w:r>
    </w:p>
    <w:p w14:paraId="23A063DD">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3" w:name="_Hlk131150557"/>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中评协和地方协会针对证券评估机构及其资产评估师应当具备的内部治理、专业胜任能力、职业道德等举办培训，加强辅导。</w:t>
      </w:r>
    </w:p>
    <w:bookmarkEnd w:id="3"/>
    <w:p w14:paraId="382D3623">
      <w:pPr>
        <w:keepNext w:val="0"/>
        <w:keepLines w:val="0"/>
        <w:pageBreakBefore w:val="0"/>
        <w:kinsoku/>
        <w:wordWrap/>
        <w:overflowPunct/>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中评协每年5月15日起通过官网，对证券评估机构从事证券服务业务信息有关情况进行更新披露。</w:t>
      </w:r>
    </w:p>
    <w:p w14:paraId="63B13F1E">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中评协组织开展对证券评估机构及其资产评估师进行周期性自律检查和专项检查。中评协可以组织协调地方协会参与本地或其他地区证券评估机构的检查工作。</w:t>
      </w:r>
    </w:p>
    <w:p w14:paraId="364BD47A">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检查内容包括但不限于上年度资产评估业务执业质量、质量控制体系运转情况、风险防范机制建立情况、内部治理情况，以及资产评估师任职资格、职业道德等情况。</w:t>
      </w:r>
    </w:p>
    <w:p w14:paraId="54EA9856">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对首次从事证券服务业务的资产评估机构，除首次专项检查外，原则上三年内再检查一次。其他证券评估机构原则上每五年检查一次。存在下列情形的证券评估机构，列为重点检查对象，加大检查力度：</w:t>
      </w:r>
    </w:p>
    <w:p w14:paraId="3448F971">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（一）被投诉或者举报，经查属实且情节严重的；</w:t>
      </w:r>
    </w:p>
    <w:p w14:paraId="5B9F3C9F">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（二）因从事资产评估业务五年内（检查当年按一年计算）受到刑事处罚、行政处罚，或者2次以上自律惩戒，或者3次以上行政监管措施的；</w:t>
      </w:r>
    </w:p>
    <w:p w14:paraId="4CF16EB8">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（三）收费异常的；</w:t>
      </w:r>
    </w:p>
    <w:p w14:paraId="11AABCB9">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（四）以不正当竞争方式承揽业务的；</w:t>
      </w:r>
    </w:p>
    <w:p w14:paraId="087A22AE">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（五）报告数量、承担风险能力及资产评估师的执业能力明显不匹配的；</w:t>
      </w:r>
    </w:p>
    <w:p w14:paraId="0F563BF7">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（六）未按规定进行业务报备的；</w:t>
      </w:r>
    </w:p>
    <w:p w14:paraId="06BE85F6">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（七）一年内收入增长或者下降超过50%的；</w:t>
      </w:r>
    </w:p>
    <w:p w14:paraId="4B520215">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（八）引发重大社会舆论的；</w:t>
      </w:r>
    </w:p>
    <w:p w14:paraId="1D107990">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（九）实际控制人或者控股股东发生变化的；</w:t>
      </w:r>
    </w:p>
    <w:p w14:paraId="65360666">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（十）发生合并、分立的；</w:t>
      </w:r>
    </w:p>
    <w:p w14:paraId="569D498D">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（十一）中评协规定的其他情形。</w:t>
      </w:r>
    </w:p>
    <w:p w14:paraId="625FF15C">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rPr>
        <w:t>中评协建立专家库，为自律检查提供技术保障。中评协为地方协会参加证券服务业务的自律检查工作提供支持。</w:t>
      </w:r>
    </w:p>
    <w:p w14:paraId="06D5DCC8">
      <w:pPr>
        <w:keepNext w:val="0"/>
        <w:keepLines w:val="0"/>
        <w:pageBreakBefore w:val="0"/>
        <w:kinsoku/>
        <w:wordWrap/>
        <w:overflow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中评协与财政部、中国证监会实现信息系统对接，形成监管合力。中评协和地方协会在自律管理工作中发现的涉及证券服务业务的行政处罚线索，由中评协移交财政部、中国证监会。中评协和地方协会对证券评估机构及其资产评估师作出的自律惩戒和处理情况，由中评协报告财政部、中国证监会。</w:t>
      </w:r>
    </w:p>
    <w:p w14:paraId="66694E50">
      <w:pPr>
        <w:keepNext w:val="0"/>
        <w:keepLines w:val="0"/>
        <w:pageBreakBefore w:val="0"/>
        <w:kinsoku/>
        <w:wordWrap/>
        <w:overflowPunct/>
        <w:autoSpaceDE/>
        <w:autoSpaceDN/>
        <w:bidi w:val="0"/>
        <w:adjustRightInd/>
        <w:snapToGrid/>
        <w:spacing w:line="560" w:lineRule="exact"/>
        <w:jc w:val="center"/>
        <w:textAlignment w:val="auto"/>
        <w:rPr>
          <w:rFonts w:ascii="黑体" w:hAnsi="黑体" w:eastAsia="黑体" w:cs="仿宋_GB2312"/>
          <w:sz w:val="32"/>
          <w:szCs w:val="32"/>
        </w:rPr>
      </w:pPr>
    </w:p>
    <w:p w14:paraId="03BC8D91">
      <w:pPr>
        <w:pStyle w:val="7"/>
        <w:keepNext w:val="0"/>
        <w:keepLines w:val="0"/>
        <w:pageBreakBefore w:val="0"/>
        <w:numPr>
          <w:ilvl w:val="0"/>
          <w:numId w:val="0"/>
        </w:numPr>
        <w:kinsoku/>
        <w:wordWrap/>
        <w:overflowPunct/>
        <w:autoSpaceDE/>
        <w:autoSpaceDN/>
        <w:bidi w:val="0"/>
        <w:adjustRightInd/>
        <w:snapToGrid/>
        <w:spacing w:line="560" w:lineRule="exact"/>
        <w:ind w:leftChars="0"/>
        <w:jc w:val="center"/>
        <w:textAlignment w:val="auto"/>
        <w:rPr>
          <w:rFonts w:ascii="黑体" w:hAnsi="黑体" w:eastAsia="黑体" w:cs="仿宋_GB2312"/>
          <w:sz w:val="32"/>
          <w:szCs w:val="32"/>
        </w:rPr>
      </w:pPr>
      <w:r>
        <w:rPr>
          <w:rFonts w:hint="eastAsia" w:ascii="黑体" w:hAnsi="黑体" w:eastAsia="黑体" w:cs="仿宋_GB2312"/>
          <w:sz w:val="32"/>
          <w:szCs w:val="32"/>
          <w:lang w:val="en-US" w:eastAsia="zh-CN"/>
        </w:rPr>
        <w:t xml:space="preserve">第四章 </w:t>
      </w:r>
      <w:r>
        <w:rPr>
          <w:rFonts w:hint="eastAsia" w:ascii="黑体" w:hAnsi="黑体" w:eastAsia="黑体" w:cs="仿宋_GB2312"/>
          <w:sz w:val="32"/>
          <w:szCs w:val="32"/>
        </w:rPr>
        <w:t>自律惩戒</w:t>
      </w:r>
    </w:p>
    <w:p w14:paraId="056E1E98">
      <w:pPr>
        <w:pStyle w:val="7"/>
        <w:keepNext w:val="0"/>
        <w:keepLines w:val="0"/>
        <w:pageBreakBefore w:val="0"/>
        <w:kinsoku/>
        <w:wordWrap/>
        <w:overflowPunct/>
        <w:autoSpaceDE/>
        <w:autoSpaceDN/>
        <w:bidi w:val="0"/>
        <w:adjustRightInd/>
        <w:snapToGrid/>
        <w:spacing w:line="560" w:lineRule="exact"/>
        <w:ind w:left="1110" w:firstLine="0" w:firstLineChars="0"/>
        <w:textAlignment w:val="auto"/>
        <w:rPr>
          <w:rFonts w:ascii="黑体" w:hAnsi="黑体" w:eastAsia="黑体" w:cs="仿宋_GB2312"/>
          <w:sz w:val="32"/>
          <w:szCs w:val="32"/>
        </w:rPr>
      </w:pPr>
    </w:p>
    <w:p w14:paraId="7587A011">
      <w:pPr>
        <w:keepNext w:val="0"/>
        <w:keepLines w:val="0"/>
        <w:pageBreakBefore w:val="0"/>
        <w:kinsoku/>
        <w:wordWrap/>
        <w:overflowPunct/>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第二十三条 </w:t>
      </w:r>
      <w:r>
        <w:rPr>
          <w:rFonts w:hint="eastAsia" w:ascii="仿宋_GB2312" w:hAnsi="仿宋_GB2312" w:eastAsia="仿宋_GB2312" w:cs="仿宋_GB2312"/>
          <w:sz w:val="32"/>
          <w:szCs w:val="32"/>
        </w:rPr>
        <w:t>证券评估机构违反本办法第七条规定的，中评协予以警告或者严重警告，情节严重的，予以通报批评或者公开谴责。</w:t>
      </w:r>
    </w:p>
    <w:p w14:paraId="17D030AF">
      <w:pPr>
        <w:keepNext w:val="0"/>
        <w:keepLines w:val="0"/>
        <w:pageBreakBefore w:val="0"/>
        <w:kinsoku/>
        <w:wordWrap/>
        <w:overflowPunct/>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证券评估机构违反本办法第八条和第十三条规定，未按规定进行业务报备或者披露信息的，中评协予以警告。</w:t>
      </w:r>
    </w:p>
    <w:p w14:paraId="592A9304">
      <w:pPr>
        <w:keepNext w:val="0"/>
        <w:keepLines w:val="0"/>
        <w:pageBreakBefore w:val="0"/>
        <w:kinsoku/>
        <w:wordWrap/>
        <w:overflowPunct/>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第二十五条 </w:t>
      </w:r>
      <w:r>
        <w:rPr>
          <w:rFonts w:hint="eastAsia" w:ascii="仿宋_GB2312" w:hAnsi="仿宋_GB2312" w:eastAsia="仿宋_GB2312" w:cs="仿宋_GB2312"/>
          <w:sz w:val="32"/>
          <w:szCs w:val="32"/>
        </w:rPr>
        <w:t>证券评估机构及其资产评估师从事证券服务业务，违反其他自律管理规范的，中评协依照有关规定予以自律惩戒。</w:t>
      </w:r>
    </w:p>
    <w:p w14:paraId="1FDF66EE">
      <w:pPr>
        <w:pStyle w:val="7"/>
        <w:keepNext w:val="0"/>
        <w:keepLines w:val="0"/>
        <w:pageBreakBefore w:val="0"/>
        <w:numPr>
          <w:ilvl w:val="0"/>
          <w:numId w:val="0"/>
        </w:numPr>
        <w:kinsoku/>
        <w:wordWrap/>
        <w:overflowPunct/>
        <w:autoSpaceDE/>
        <w:autoSpaceDN/>
        <w:bidi w:val="0"/>
        <w:adjustRightInd/>
        <w:snapToGrid/>
        <w:spacing w:line="560" w:lineRule="exact"/>
        <w:ind w:leftChars="0"/>
        <w:jc w:val="center"/>
        <w:textAlignment w:val="auto"/>
        <w:rPr>
          <w:rFonts w:hint="eastAsia" w:ascii="黑体" w:hAnsi="黑体" w:eastAsia="黑体" w:cs="仿宋_GB2312"/>
          <w:sz w:val="32"/>
          <w:szCs w:val="32"/>
          <w:lang w:val="en-US" w:eastAsia="zh-CN"/>
        </w:rPr>
      </w:pPr>
    </w:p>
    <w:p w14:paraId="4F8156BF">
      <w:pPr>
        <w:pStyle w:val="7"/>
        <w:keepNext w:val="0"/>
        <w:keepLines w:val="0"/>
        <w:pageBreakBefore w:val="0"/>
        <w:numPr>
          <w:ilvl w:val="0"/>
          <w:numId w:val="0"/>
        </w:numPr>
        <w:kinsoku/>
        <w:wordWrap/>
        <w:overflowPunct/>
        <w:autoSpaceDE/>
        <w:autoSpaceDN/>
        <w:bidi w:val="0"/>
        <w:adjustRightInd/>
        <w:snapToGrid/>
        <w:spacing w:line="560" w:lineRule="exact"/>
        <w:ind w:leftChars="0"/>
        <w:jc w:val="center"/>
        <w:textAlignment w:val="auto"/>
        <w:rPr>
          <w:rFonts w:ascii="黑体" w:hAnsi="黑体" w:eastAsia="黑体" w:cs="仿宋_GB2312"/>
          <w:sz w:val="32"/>
          <w:szCs w:val="32"/>
        </w:rPr>
      </w:pPr>
      <w:r>
        <w:rPr>
          <w:rFonts w:hint="eastAsia" w:ascii="黑体" w:hAnsi="黑体" w:eastAsia="黑体" w:cs="仿宋_GB2312"/>
          <w:sz w:val="32"/>
          <w:szCs w:val="32"/>
          <w:lang w:val="en-US" w:eastAsia="zh-CN"/>
        </w:rPr>
        <w:t xml:space="preserve">第五章 </w:t>
      </w:r>
      <w:r>
        <w:rPr>
          <w:rFonts w:hint="eastAsia" w:ascii="黑体" w:hAnsi="黑体" w:eastAsia="黑体" w:cs="仿宋_GB2312"/>
          <w:sz w:val="32"/>
          <w:szCs w:val="32"/>
        </w:rPr>
        <w:t>附则</w:t>
      </w:r>
    </w:p>
    <w:p w14:paraId="5AFECC85">
      <w:pPr>
        <w:pStyle w:val="7"/>
        <w:keepNext w:val="0"/>
        <w:keepLines w:val="0"/>
        <w:pageBreakBefore w:val="0"/>
        <w:kinsoku/>
        <w:wordWrap/>
        <w:overflowPunct/>
        <w:autoSpaceDE/>
        <w:autoSpaceDN/>
        <w:bidi w:val="0"/>
        <w:adjustRightInd/>
        <w:snapToGrid/>
        <w:spacing w:line="560" w:lineRule="exact"/>
        <w:ind w:left="1110" w:firstLine="0" w:firstLineChars="0"/>
        <w:textAlignment w:val="auto"/>
        <w:rPr>
          <w:rFonts w:ascii="黑体" w:hAnsi="黑体" w:eastAsia="黑体" w:cs="仿宋_GB2312"/>
          <w:sz w:val="32"/>
          <w:szCs w:val="32"/>
        </w:rPr>
      </w:pPr>
    </w:p>
    <w:p w14:paraId="7833C126">
      <w:pPr>
        <w:keepNext w:val="0"/>
        <w:keepLines w:val="0"/>
        <w:pageBreakBefore w:val="0"/>
        <w:kinsoku/>
        <w:wordWrap/>
        <w:overflowPunct/>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本办法自2024年*月*日起施行。</w:t>
      </w:r>
    </w:p>
    <w:tbl>
      <w:tblPr>
        <w:tblStyle w:val="4"/>
        <w:tblpPr w:leftFromText="180" w:rightFromText="180" w:vertAnchor="text" w:horzAnchor="margin" w:tblpY="526"/>
        <w:tblW w:w="8748"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748"/>
      </w:tblGrid>
      <w:tr w14:paraId="162F277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8748" w:type="dxa"/>
            <w:tcBorders>
              <w:top w:val="single" w:color="auto" w:sz="12" w:space="0"/>
              <w:left w:val="nil"/>
              <w:bottom w:val="single" w:color="auto" w:sz="12" w:space="0"/>
              <w:right w:val="nil"/>
            </w:tcBorders>
            <w:noWrap w:val="0"/>
            <w:vAlign w:val="center"/>
          </w:tcPr>
          <w:p w14:paraId="73444849">
            <w:pPr>
              <w:keepNext w:val="0"/>
              <w:keepLines w:val="0"/>
              <w:pageBreakBefore w:val="0"/>
              <w:kinsoku/>
              <w:wordWrap/>
              <w:overflowPunct/>
              <w:autoSpaceDE/>
              <w:autoSpaceDN/>
              <w:bidi w:val="0"/>
              <w:adjustRightInd/>
              <w:snapToGrid/>
              <w:spacing w:line="56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 xml:space="preserve">中国资产评估协会信息会员部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202</w:t>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lang w:val="zh-CN"/>
              </w:rPr>
              <w:t>日印发</w:t>
            </w:r>
          </w:p>
        </w:tc>
      </w:tr>
    </w:tbl>
    <w:p w14:paraId="02D9E106">
      <w:pPr>
        <w:pStyle w:val="3"/>
        <w:keepNext w:val="0"/>
        <w:keepLines w:val="0"/>
        <w:pageBreakBefore w:val="0"/>
        <w:shd w:val="clear" w:color="auto" w:fill="FFFFFF"/>
        <w:kinsoku/>
        <w:wordWrap/>
        <w:overflowPunct/>
        <w:autoSpaceDE/>
        <w:autoSpaceDN/>
        <w:bidi w:val="0"/>
        <w:adjustRightInd/>
        <w:snapToGrid/>
        <w:spacing w:before="0" w:beforeAutospacing="0" w:after="0" w:afterAutospacing="0" w:line="240" w:lineRule="auto"/>
        <w:jc w:val="both"/>
        <w:textAlignment w:val="auto"/>
        <w:rPr>
          <w:rStyle w:val="6"/>
          <w:rFonts w:hint="eastAsia" w:ascii="仿宋_GB2312" w:hAnsi="仿宋" w:eastAsia="仿宋_GB2312"/>
          <w:bCs/>
          <w:sz w:val="32"/>
          <w:szCs w:val="32"/>
        </w:rPr>
      </w:pPr>
    </w:p>
    <w:p w14:paraId="53B425DF">
      <w:bookmarkStart w:id="4" w:name="_GoBack"/>
      <w:bookmarkEnd w:id="4"/>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63FE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215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835" cy="215900"/>
                      </a:xfrm>
                      <a:prstGeom prst="rect">
                        <a:avLst/>
                      </a:prstGeom>
                      <a:noFill/>
                      <a:ln>
                        <a:noFill/>
                      </a:ln>
                    </wps:spPr>
                    <wps:txbx>
                      <w:txbxContent>
                        <w:p w14:paraId="7C730062">
                          <w:pPr>
                            <w:pStyle w:val="2"/>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- 1 -</w:t>
                          </w:r>
                          <w:r>
                            <w:rPr>
                              <w:rFonts w:ascii="仿宋" w:hAnsi="仿宋" w:eastAsia="仿宋" w:cs="仿宋"/>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7pt;width:36.05pt;mso-position-horizontal:center;mso-position-horizontal-relative:margin;z-index:251659264;mso-width-relative:page;mso-height-relative:page;" filled="f" stroked="f" coordsize="21600,21600" o:gfxdata="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6uYJzUAAAAAwEAAA8AAAAAAAAAAQAgAAAAIgAAAGRycy9kb3ducmV2LnhtbFBLAQIUABQA&#10;AAAIAIdO4kAYNnU9uwEAAHEDAAAOAAAAAAAAAAEAIAAAACMBAABkcnMvZTJvRG9jLnhtbFBLBQYA&#10;AAAABgAGAFkBAABQBQAAAAA=&#10;">
              <v:path/>
              <v:fill on="f" focussize="0,0"/>
              <v:stroke on="f" joinstyle="miter"/>
              <v:imagedata o:title=""/>
              <o:lock v:ext="edit"/>
              <v:textbox inset="0mm,0mm,0mm,0mm">
                <w:txbxContent>
                  <w:p w14:paraId="7C730062">
                    <w:pPr>
                      <w:pStyle w:val="2"/>
                      <w:rPr>
                        <w:rFonts w:ascii="仿宋" w:hAnsi="仿宋" w:eastAsia="仿宋" w:cs="仿宋"/>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PAGE  \* MERGEFORMAT </w:instrText>
                    </w:r>
                    <w:r>
                      <w:rPr>
                        <w:rFonts w:ascii="仿宋" w:hAnsi="仿宋" w:eastAsia="仿宋" w:cs="仿宋"/>
                        <w:sz w:val="28"/>
                        <w:szCs w:val="28"/>
                      </w:rPr>
                      <w:fldChar w:fldCharType="separate"/>
                    </w:r>
                    <w:r>
                      <w:rPr>
                        <w:rFonts w:ascii="仿宋" w:hAnsi="仿宋" w:eastAsia="仿宋" w:cs="仿宋"/>
                        <w:sz w:val="28"/>
                        <w:szCs w:val="28"/>
                      </w:rPr>
                      <w:t>- 1 -</w:t>
                    </w:r>
                    <w:r>
                      <w:rPr>
                        <w:rFonts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Nzk0YjE3ZDJlNjFhMDExZDcxY2NkYmIzNDJmOWEifQ=="/>
  </w:docVars>
  <w:rsids>
    <w:rsidRoot w:val="1CB03836"/>
    <w:rsid w:val="1CB03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rFonts w:ascii="Calibri" w:hAnsi="Calibri"/>
      <w:sz w:val="18"/>
      <w:szCs w:val="18"/>
    </w:r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6">
    <w:name w:val="NormalCharacter"/>
    <w:semiHidden/>
    <w:qFormat/>
    <w:uiPriority w:val="99"/>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2024-07-23T01:36:00Z</dcterms:created>
  <dc:creator>霞</dc:creator>
  <cp:lastModifiedBy>霞</cp:lastModifiedBy>
  <dcterms:modified xsi:type="dcterms:W3CDTF">2024-07-23T01:36:40Z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33F315F2DA3641E4B7BE344E6FF64F79_11</vt:lpwstr>
  </property>
</Properties>
</file>