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2E" w:rsidRDefault="00F6052E" w:rsidP="00F6052E">
      <w:pPr>
        <w:pStyle w:val="a0"/>
        <w:spacing w:line="578" w:lineRule="exact"/>
        <w:ind w:firstLineChars="0" w:firstLine="0"/>
        <w:rPr>
          <w:rFonts w:ascii="黑体" w:eastAsia="黑体" w:hAnsi="黑体"/>
          <w:sz w:val="32"/>
          <w:szCs w:val="32"/>
        </w:rPr>
      </w:pPr>
      <w:r>
        <w:rPr>
          <w:rFonts w:ascii="黑体" w:eastAsia="黑体" w:hAnsi="黑体" w:hint="eastAsia"/>
          <w:sz w:val="32"/>
          <w:szCs w:val="32"/>
        </w:rPr>
        <w:t>附1</w:t>
      </w:r>
    </w:p>
    <w:p w:rsidR="00F6052E" w:rsidRDefault="00F6052E" w:rsidP="00F6052E">
      <w:pPr>
        <w:pStyle w:val="Default"/>
        <w:spacing w:beforeLines="50" w:line="578" w:lineRule="exact"/>
        <w:jc w:val="center"/>
        <w:outlineLvl w:val="0"/>
        <w:rPr>
          <w:rFonts w:ascii="Times New Roman" w:eastAsia="方正小标宋简体" w:cs="Times New Roman"/>
          <w:sz w:val="44"/>
          <w:szCs w:val="44"/>
        </w:rPr>
      </w:pPr>
      <w:r>
        <w:rPr>
          <w:rFonts w:ascii="Times New Roman" w:eastAsia="方正小标宋简体" w:cs="Times New Roman" w:hint="eastAsia"/>
          <w:sz w:val="44"/>
          <w:szCs w:val="44"/>
        </w:rPr>
        <w:t>术语和定义</w:t>
      </w:r>
    </w:p>
    <w:p w:rsidR="00F6052E" w:rsidRDefault="00F6052E" w:rsidP="00F6052E">
      <w:pPr>
        <w:pStyle w:val="Default"/>
        <w:spacing w:afterLines="50" w:line="578" w:lineRule="exact"/>
        <w:jc w:val="center"/>
        <w:outlineLvl w:val="0"/>
        <w:rPr>
          <w:rFonts w:ascii="Times New Roman" w:eastAsia="仿宋_GB2312" w:cs="Times New Roman"/>
          <w:bCs/>
          <w:color w:val="auto"/>
          <w:kern w:val="2"/>
          <w:sz w:val="32"/>
          <w:szCs w:val="32"/>
        </w:rPr>
      </w:pPr>
      <w:r>
        <w:rPr>
          <w:rFonts w:ascii="Times New Roman" w:eastAsia="仿宋_GB2312" w:cs="Times New Roman" w:hint="eastAsia"/>
          <w:bCs/>
          <w:color w:val="auto"/>
          <w:kern w:val="2"/>
          <w:sz w:val="32"/>
          <w:szCs w:val="32"/>
        </w:rPr>
        <w:t>（供参考）</w:t>
      </w:r>
    </w:p>
    <w:p w:rsidR="00F6052E" w:rsidRDefault="00F6052E" w:rsidP="00F6052E">
      <w:pPr>
        <w:pStyle w:val="a4"/>
        <w:snapToGrid w:val="0"/>
        <w:spacing w:line="578" w:lineRule="exact"/>
        <w:ind w:firstLine="640"/>
        <w:rPr>
          <w:rFonts w:ascii="仿宋_GB2312" w:eastAsia="仿宋_GB2312"/>
          <w:sz w:val="32"/>
          <w:szCs w:val="32"/>
        </w:rPr>
      </w:pPr>
      <w:r>
        <w:rPr>
          <w:rFonts w:ascii="仿宋_GB2312" w:eastAsia="仿宋_GB2312" w:hint="eastAsia"/>
          <w:sz w:val="32"/>
          <w:szCs w:val="32"/>
        </w:rPr>
        <w:t>1.数据</w:t>
      </w:r>
    </w:p>
    <w:p w:rsidR="00F6052E" w:rsidRDefault="00F6052E" w:rsidP="00F6052E">
      <w:pPr>
        <w:snapToGrid w:val="0"/>
        <w:spacing w:line="578" w:lineRule="exact"/>
        <w:ind w:firstLineChars="200" w:firstLine="640"/>
        <w:rPr>
          <w:rFonts w:ascii="仿宋_GB2312" w:eastAsia="仿宋_GB2312"/>
          <w:bCs/>
          <w:sz w:val="32"/>
          <w:szCs w:val="32"/>
        </w:rPr>
      </w:pPr>
      <w:r>
        <w:rPr>
          <w:rFonts w:ascii="仿宋_GB2312" w:eastAsia="仿宋_GB2312" w:hint="eastAsia"/>
          <w:bCs/>
          <w:sz w:val="32"/>
          <w:szCs w:val="32"/>
        </w:rPr>
        <w:t>数据是指任何以电子或者其他方式对信息的记录。</w:t>
      </w:r>
    </w:p>
    <w:p w:rsidR="00F6052E" w:rsidRDefault="00F6052E" w:rsidP="00F6052E">
      <w:pPr>
        <w:pStyle w:val="a4"/>
        <w:snapToGrid w:val="0"/>
        <w:spacing w:line="578" w:lineRule="exact"/>
        <w:ind w:firstLine="640"/>
        <w:rPr>
          <w:rFonts w:ascii="仿宋_GB2312" w:eastAsia="仿宋_GB2312"/>
          <w:sz w:val="32"/>
          <w:szCs w:val="32"/>
        </w:rPr>
      </w:pPr>
      <w:r>
        <w:rPr>
          <w:rFonts w:ascii="仿宋_GB2312" w:eastAsia="仿宋_GB2312" w:hint="eastAsia"/>
          <w:sz w:val="32"/>
          <w:szCs w:val="32"/>
        </w:rPr>
        <w:t>2.数据资源</w:t>
      </w:r>
    </w:p>
    <w:p w:rsidR="00F6052E" w:rsidRDefault="00F6052E" w:rsidP="00F6052E">
      <w:pPr>
        <w:pStyle w:val="a0"/>
        <w:spacing w:line="578" w:lineRule="exact"/>
        <w:ind w:firstLine="640"/>
        <w:rPr>
          <w:rFonts w:ascii="仿宋_GB2312" w:eastAsia="仿宋_GB2312"/>
          <w:sz w:val="32"/>
          <w:szCs w:val="32"/>
        </w:rPr>
      </w:pPr>
      <w:r>
        <w:rPr>
          <w:rFonts w:ascii="仿宋_GB2312" w:eastAsia="仿宋_GB2312" w:hint="eastAsia"/>
          <w:sz w:val="32"/>
          <w:szCs w:val="32"/>
        </w:rPr>
        <w:t>数据资源是指经过加工后，在现时或者未来具有经济价值的数据。</w:t>
      </w:r>
    </w:p>
    <w:p w:rsidR="00F6052E" w:rsidRDefault="00F6052E" w:rsidP="00F6052E">
      <w:pPr>
        <w:pStyle w:val="a4"/>
        <w:snapToGrid w:val="0"/>
        <w:spacing w:line="578" w:lineRule="exact"/>
        <w:ind w:firstLine="640"/>
        <w:rPr>
          <w:rFonts w:ascii="仿宋_GB2312" w:eastAsia="仿宋_GB2312"/>
          <w:sz w:val="32"/>
          <w:szCs w:val="32"/>
        </w:rPr>
      </w:pPr>
      <w:r>
        <w:rPr>
          <w:rFonts w:ascii="仿宋_GB2312" w:eastAsia="仿宋_GB2312" w:hint="eastAsia"/>
          <w:sz w:val="32"/>
          <w:szCs w:val="32"/>
        </w:rPr>
        <w:t>3.数据规模</w:t>
      </w:r>
    </w:p>
    <w:p w:rsidR="00F6052E" w:rsidRDefault="00F6052E" w:rsidP="00F6052E">
      <w:pPr>
        <w:pStyle w:val="a0"/>
        <w:spacing w:line="578" w:lineRule="exact"/>
        <w:ind w:firstLine="640"/>
        <w:rPr>
          <w:rFonts w:ascii="仿宋_GB2312" w:eastAsia="仿宋_GB2312"/>
          <w:sz w:val="32"/>
          <w:szCs w:val="32"/>
        </w:rPr>
      </w:pPr>
      <w:r>
        <w:rPr>
          <w:rFonts w:ascii="仿宋_GB2312" w:eastAsia="仿宋_GB2312" w:hint="eastAsia"/>
          <w:sz w:val="32"/>
          <w:szCs w:val="32"/>
        </w:rPr>
        <w:t>数据规模通常包含数据量、增长率和更新率等指标。数据量是指数据集元素的总数量；增长率是指数据集元素增加量与原数据集元素总数量之比；更新率是指单位时间内数据集的变更元素数量。</w:t>
      </w:r>
    </w:p>
    <w:p w:rsidR="00F6052E" w:rsidRDefault="00F6052E" w:rsidP="00F6052E">
      <w:pPr>
        <w:pStyle w:val="a4"/>
        <w:snapToGrid w:val="0"/>
        <w:spacing w:line="578" w:lineRule="exact"/>
        <w:ind w:firstLine="640"/>
        <w:rPr>
          <w:rFonts w:ascii="仿宋_GB2312" w:eastAsia="仿宋_GB2312"/>
          <w:sz w:val="32"/>
          <w:szCs w:val="18"/>
        </w:rPr>
      </w:pPr>
      <w:r>
        <w:rPr>
          <w:rFonts w:ascii="仿宋_GB2312" w:eastAsia="仿宋_GB2312" w:hint="eastAsia"/>
          <w:sz w:val="32"/>
          <w:szCs w:val="18"/>
        </w:rPr>
        <w:t>4</w:t>
      </w:r>
      <w:r>
        <w:rPr>
          <w:rFonts w:ascii="仿宋_GB2312" w:eastAsia="仿宋_GB2312"/>
          <w:sz w:val="32"/>
          <w:szCs w:val="32"/>
        </w:rPr>
        <w:t>.</w:t>
      </w:r>
      <w:r>
        <w:rPr>
          <w:rFonts w:ascii="仿宋_GB2312" w:eastAsia="仿宋_GB2312" w:hint="eastAsia"/>
          <w:sz w:val="32"/>
          <w:szCs w:val="18"/>
        </w:rPr>
        <w:t>数据质量</w:t>
      </w:r>
    </w:p>
    <w:p w:rsidR="00F6052E" w:rsidRDefault="00F6052E" w:rsidP="00F6052E">
      <w:pPr>
        <w:snapToGrid w:val="0"/>
        <w:spacing w:line="578" w:lineRule="exact"/>
        <w:ind w:firstLineChars="200" w:firstLine="640"/>
        <w:rPr>
          <w:rFonts w:ascii="仿宋_GB2312" w:eastAsia="仿宋_GB2312"/>
          <w:bCs/>
          <w:sz w:val="32"/>
          <w:szCs w:val="18"/>
        </w:rPr>
      </w:pPr>
      <w:r>
        <w:rPr>
          <w:rFonts w:ascii="仿宋_GB2312" w:eastAsia="仿宋_GB2312" w:hint="eastAsia"/>
          <w:bCs/>
          <w:sz w:val="32"/>
          <w:szCs w:val="18"/>
        </w:rPr>
        <w:t>数据质量是指数据在指定条件下使用时，其特性能够满足明确的或者隐含的要求的程度。</w:t>
      </w:r>
    </w:p>
    <w:p w:rsidR="00F6052E" w:rsidRPr="00E315BE" w:rsidRDefault="00F6052E" w:rsidP="00F6052E">
      <w:pPr>
        <w:snapToGrid w:val="0"/>
        <w:spacing w:line="578" w:lineRule="exact"/>
        <w:ind w:firstLineChars="200" w:firstLine="640"/>
        <w:rPr>
          <w:rFonts w:ascii="仿宋_GB2312" w:eastAsia="仿宋_GB2312"/>
          <w:bCs/>
          <w:sz w:val="32"/>
          <w:szCs w:val="18"/>
        </w:rPr>
      </w:pPr>
    </w:p>
    <w:p w:rsidR="00F6052E" w:rsidRPr="00E315BE" w:rsidRDefault="00F6052E" w:rsidP="00F6052E">
      <w:pPr>
        <w:snapToGrid w:val="0"/>
        <w:spacing w:line="578" w:lineRule="exact"/>
        <w:ind w:firstLineChars="200" w:firstLine="640"/>
        <w:rPr>
          <w:rFonts w:ascii="仿宋_GB2312" w:eastAsia="仿宋_GB2312"/>
          <w:bCs/>
          <w:sz w:val="32"/>
          <w:szCs w:val="18"/>
        </w:rPr>
      </w:pPr>
    </w:p>
    <w:p w:rsidR="00F6052E" w:rsidRPr="00E315BE" w:rsidRDefault="00F6052E" w:rsidP="00F6052E">
      <w:pPr>
        <w:snapToGrid w:val="0"/>
        <w:spacing w:line="578" w:lineRule="exact"/>
        <w:ind w:firstLineChars="200" w:firstLine="640"/>
        <w:rPr>
          <w:rFonts w:ascii="仿宋_GB2312" w:eastAsia="仿宋_GB2312"/>
          <w:bCs/>
          <w:sz w:val="32"/>
          <w:szCs w:val="18"/>
        </w:rPr>
      </w:pPr>
    </w:p>
    <w:p w:rsidR="00F6052E" w:rsidRDefault="00F6052E" w:rsidP="004C1E9A">
      <w:pPr>
        <w:pStyle w:val="a0"/>
        <w:spacing w:line="578" w:lineRule="exact"/>
        <w:ind w:firstLineChars="0" w:firstLine="0"/>
        <w:rPr>
          <w:rFonts w:eastAsia="黑体" w:hint="eastAsia"/>
          <w:sz w:val="32"/>
          <w:szCs w:val="32"/>
        </w:rPr>
      </w:pPr>
    </w:p>
    <w:p w:rsidR="00F6052E" w:rsidRDefault="00F6052E" w:rsidP="004C1E9A">
      <w:pPr>
        <w:pStyle w:val="a0"/>
        <w:spacing w:line="578" w:lineRule="exact"/>
        <w:ind w:firstLineChars="0" w:firstLine="0"/>
        <w:rPr>
          <w:rFonts w:eastAsia="黑体" w:hint="eastAsia"/>
          <w:sz w:val="32"/>
          <w:szCs w:val="32"/>
        </w:rPr>
      </w:pPr>
    </w:p>
    <w:p w:rsidR="00F6052E" w:rsidRDefault="00F6052E" w:rsidP="004C1E9A">
      <w:pPr>
        <w:pStyle w:val="a0"/>
        <w:spacing w:line="578" w:lineRule="exact"/>
        <w:ind w:firstLineChars="0" w:firstLine="0"/>
        <w:rPr>
          <w:rFonts w:eastAsia="黑体" w:hint="eastAsia"/>
          <w:sz w:val="32"/>
          <w:szCs w:val="32"/>
        </w:rPr>
      </w:pPr>
    </w:p>
    <w:p w:rsidR="00F6052E" w:rsidRPr="00F6052E" w:rsidRDefault="00F6052E" w:rsidP="004C1E9A">
      <w:pPr>
        <w:pStyle w:val="a0"/>
        <w:spacing w:line="578" w:lineRule="exact"/>
        <w:ind w:firstLineChars="0" w:firstLine="0"/>
        <w:rPr>
          <w:rFonts w:eastAsia="黑体" w:hint="eastAsia"/>
          <w:sz w:val="32"/>
          <w:szCs w:val="32"/>
        </w:rPr>
      </w:pPr>
    </w:p>
    <w:p w:rsidR="004C1E9A" w:rsidRDefault="004C1E9A" w:rsidP="004C1E9A">
      <w:pPr>
        <w:pStyle w:val="a0"/>
        <w:spacing w:line="578" w:lineRule="exact"/>
        <w:ind w:firstLineChars="0" w:firstLine="0"/>
        <w:rPr>
          <w:rFonts w:eastAsia="黑体"/>
          <w:sz w:val="32"/>
          <w:szCs w:val="32"/>
        </w:rPr>
      </w:pPr>
      <w:r>
        <w:rPr>
          <w:rFonts w:eastAsia="黑体"/>
          <w:sz w:val="32"/>
          <w:szCs w:val="32"/>
        </w:rPr>
        <w:lastRenderedPageBreak/>
        <w:t>附</w:t>
      </w:r>
      <w:r w:rsidRPr="00DF3EE2">
        <w:rPr>
          <w:rFonts w:ascii="黑体" w:eastAsia="黑体" w:hAnsi="黑体"/>
          <w:sz w:val="32"/>
          <w:szCs w:val="32"/>
        </w:rPr>
        <w:t>2</w:t>
      </w:r>
    </w:p>
    <w:p w:rsidR="004C1E9A" w:rsidRDefault="004C1E9A" w:rsidP="00F6052E">
      <w:pPr>
        <w:pStyle w:val="Default"/>
        <w:spacing w:beforeLines="50" w:line="578" w:lineRule="exact"/>
        <w:jc w:val="center"/>
        <w:outlineLvl w:val="0"/>
        <w:rPr>
          <w:rFonts w:ascii="Times New Roman" w:eastAsia="方正小标宋简体" w:cs="Times New Roman"/>
          <w:sz w:val="44"/>
          <w:szCs w:val="44"/>
        </w:rPr>
      </w:pPr>
      <w:r>
        <w:rPr>
          <w:rFonts w:ascii="Times New Roman" w:eastAsia="方正小标宋简体" w:cs="Times New Roman" w:hint="eastAsia"/>
          <w:sz w:val="44"/>
          <w:szCs w:val="44"/>
        </w:rPr>
        <w:t>基于质量要素的指标体系设计示例</w:t>
      </w:r>
    </w:p>
    <w:p w:rsidR="004C1E9A" w:rsidRDefault="004C1E9A" w:rsidP="00F6052E">
      <w:pPr>
        <w:pStyle w:val="Default"/>
        <w:spacing w:afterLines="50" w:line="578" w:lineRule="exact"/>
        <w:jc w:val="center"/>
        <w:outlineLvl w:val="0"/>
        <w:rPr>
          <w:rFonts w:ascii="Times New Roman" w:eastAsia="仿宋_GB2312" w:cs="Times New Roman"/>
          <w:bCs/>
          <w:color w:val="auto"/>
          <w:kern w:val="2"/>
          <w:sz w:val="32"/>
          <w:szCs w:val="32"/>
        </w:rPr>
      </w:pPr>
      <w:r>
        <w:rPr>
          <w:rFonts w:ascii="Times New Roman" w:eastAsia="仿宋_GB2312" w:cs="Times New Roman" w:hint="eastAsia"/>
          <w:bCs/>
          <w:color w:val="auto"/>
          <w:kern w:val="2"/>
          <w:sz w:val="32"/>
          <w:szCs w:val="32"/>
        </w:rPr>
        <w:t>（供参考）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1497"/>
        <w:gridCol w:w="1088"/>
        <w:gridCol w:w="5835"/>
      </w:tblGrid>
      <w:tr w:rsidR="004C1E9A" w:rsidTr="00FD2AD2">
        <w:trPr>
          <w:trHeight w:val="473"/>
          <w:tblHeader/>
        </w:trPr>
        <w:tc>
          <w:tcPr>
            <w:tcW w:w="1555" w:type="dxa"/>
            <w:vAlign w:val="center"/>
          </w:tcPr>
          <w:p w:rsidR="004C1E9A" w:rsidRPr="00EE018B" w:rsidRDefault="004C1E9A" w:rsidP="00FD2AD2">
            <w:pPr>
              <w:pStyle w:val="Default"/>
              <w:snapToGrid w:val="0"/>
              <w:jc w:val="center"/>
              <w:outlineLvl w:val="0"/>
              <w:rPr>
                <w:rFonts w:ascii="Times New Roman" w:eastAsia="仿宋_GB2312" w:cs="Times New Roman"/>
                <w:bCs/>
                <w:color w:val="auto"/>
                <w:kern w:val="2"/>
              </w:rPr>
            </w:pPr>
            <w:r w:rsidRPr="00EE018B">
              <w:rPr>
                <w:rFonts w:eastAsia="仿宋_GB2312" w:hint="eastAsia"/>
                <w:b/>
                <w:bCs/>
              </w:rPr>
              <w:t>质量要素特性</w:t>
            </w:r>
          </w:p>
        </w:tc>
        <w:tc>
          <w:tcPr>
            <w:tcW w:w="1134" w:type="dxa"/>
            <w:vAlign w:val="center"/>
          </w:tcPr>
          <w:p w:rsidR="004C1E9A" w:rsidRPr="00EE018B" w:rsidRDefault="004C1E9A" w:rsidP="00FD2AD2">
            <w:pPr>
              <w:pStyle w:val="Default"/>
              <w:snapToGrid w:val="0"/>
              <w:jc w:val="center"/>
              <w:outlineLvl w:val="0"/>
              <w:rPr>
                <w:rFonts w:ascii="Times New Roman" w:eastAsia="仿宋_GB2312" w:cs="Times New Roman"/>
                <w:bCs/>
                <w:color w:val="auto"/>
                <w:kern w:val="2"/>
              </w:rPr>
            </w:pPr>
            <w:r w:rsidRPr="00EE018B">
              <w:rPr>
                <w:rFonts w:eastAsia="仿宋_GB2312" w:hint="eastAsia"/>
                <w:b/>
                <w:bCs/>
              </w:rPr>
              <w:t>指标</w:t>
            </w:r>
          </w:p>
        </w:tc>
        <w:tc>
          <w:tcPr>
            <w:tcW w:w="6145" w:type="dxa"/>
            <w:vAlign w:val="center"/>
          </w:tcPr>
          <w:p w:rsidR="004C1E9A" w:rsidRPr="00EE018B" w:rsidRDefault="004C1E9A" w:rsidP="00FD2AD2">
            <w:pPr>
              <w:pStyle w:val="Default"/>
              <w:snapToGrid w:val="0"/>
              <w:jc w:val="center"/>
              <w:outlineLvl w:val="0"/>
              <w:rPr>
                <w:rFonts w:ascii="Times New Roman" w:eastAsia="仿宋_GB2312" w:cs="Times New Roman"/>
                <w:bCs/>
                <w:color w:val="auto"/>
                <w:kern w:val="2"/>
              </w:rPr>
            </w:pPr>
            <w:r w:rsidRPr="00EE018B">
              <w:rPr>
                <w:rFonts w:eastAsia="仿宋_GB2312" w:hint="eastAsia"/>
                <w:b/>
                <w:bCs/>
              </w:rPr>
              <w:t>确定方法</w:t>
            </w:r>
          </w:p>
        </w:tc>
      </w:tr>
      <w:tr w:rsidR="004C1E9A" w:rsidTr="00FD2AD2">
        <w:trPr>
          <w:cantSplit/>
        </w:trPr>
        <w:tc>
          <w:tcPr>
            <w:tcW w:w="1555" w:type="dxa"/>
            <w:vMerge w:val="restart"/>
            <w:vAlign w:val="center"/>
          </w:tcPr>
          <w:p w:rsidR="004C1E9A" w:rsidRPr="00EE018B" w:rsidRDefault="004C1E9A" w:rsidP="00FD2AD2">
            <w:pPr>
              <w:pStyle w:val="Default"/>
              <w:snapToGrid w:val="0"/>
              <w:outlineLvl w:val="0"/>
              <w:rPr>
                <w:rFonts w:ascii="Times New Roman" w:eastAsia="仿宋_GB2312" w:cs="Times New Roman"/>
                <w:b/>
                <w:color w:val="auto"/>
                <w:kern w:val="2"/>
              </w:rPr>
            </w:pPr>
            <w:r w:rsidRPr="00EE018B">
              <w:rPr>
                <w:rFonts w:ascii="Times New Roman" w:eastAsia="仿宋_GB2312" w:cs="Times New Roman" w:hint="eastAsia"/>
                <w:b/>
                <w:color w:val="auto"/>
                <w:kern w:val="2"/>
              </w:rPr>
              <w:t>准确性：</w:t>
            </w:r>
          </w:p>
          <w:p w:rsidR="004C1E9A" w:rsidRPr="00EE018B" w:rsidRDefault="004C1E9A" w:rsidP="00FD2AD2">
            <w:pPr>
              <w:pStyle w:val="Default"/>
              <w:snapToGrid w:val="0"/>
              <w:outlineLvl w:val="0"/>
              <w:rPr>
                <w:rFonts w:ascii="Times New Roman" w:eastAsia="仿宋_GB2312" w:cs="Times New Roman"/>
                <w:bCs/>
                <w:color w:val="auto"/>
                <w:kern w:val="2"/>
              </w:rPr>
            </w:pPr>
            <w:r w:rsidRPr="00EE018B">
              <w:rPr>
                <w:rFonts w:ascii="Times New Roman" w:eastAsia="仿宋_GB2312" w:cs="Times New Roman" w:hint="eastAsia"/>
                <w:bCs/>
                <w:color w:val="auto"/>
                <w:kern w:val="2"/>
              </w:rPr>
              <w:t>即数据资产准确表示其所描述事物和事件的真实程度。</w:t>
            </w: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内容</w:t>
            </w:r>
          </w:p>
          <w:p w:rsidR="004C1E9A" w:rsidRPr="00EE018B" w:rsidRDefault="004C1E9A" w:rsidP="00FD2AD2">
            <w:pPr>
              <w:pStyle w:val="Default"/>
              <w:snapToGrid w:val="0"/>
              <w:jc w:val="center"/>
              <w:outlineLvl w:val="0"/>
              <w:rPr>
                <w:rFonts w:ascii="Times New Roman" w:eastAsia="仿宋_GB2312" w:cs="Times New Roman"/>
                <w:bCs/>
                <w:color w:val="auto"/>
                <w:kern w:val="2"/>
              </w:rPr>
            </w:pPr>
            <w:r w:rsidRPr="00EE018B">
              <w:rPr>
                <w:rFonts w:eastAsia="仿宋_GB2312" w:hint="eastAsia"/>
              </w:rPr>
              <w:t>准确率</w:t>
            </w:r>
          </w:p>
        </w:tc>
        <w:tc>
          <w:tcPr>
            <w:tcW w:w="6145" w:type="dxa"/>
            <w:vAlign w:val="center"/>
          </w:tcPr>
          <w:p w:rsidR="004C1E9A" w:rsidRPr="00EE018B" w:rsidRDefault="004C1E9A" w:rsidP="00FD2AD2">
            <w:pPr>
              <w:snapToGrid w:val="0"/>
              <w:rPr>
                <w:rFonts w:eastAsia="仿宋_GB2312"/>
                <w:color w:val="000000"/>
                <w:kern w:val="0"/>
                <w:sz w:val="24"/>
              </w:rPr>
            </w:pPr>
            <w:r w:rsidRPr="00EE018B">
              <w:rPr>
                <w:rFonts w:eastAsia="仿宋_GB2312" w:hint="eastAsia"/>
                <w:color w:val="000000"/>
                <w:kern w:val="0"/>
                <w:sz w:val="24"/>
              </w:rPr>
              <w:t>数据集内容表述正确的元素数量与元素总数量之比。数据集是指数据记录汇聚的数据形式。元素是组成数据源中记录或者数据项的最小单元。</w:t>
            </w:r>
          </w:p>
          <w:p w:rsidR="004C1E9A" w:rsidRPr="00EE018B" w:rsidRDefault="004C1E9A" w:rsidP="00FD2AD2">
            <w:pPr>
              <w:snapToGrid w:val="0"/>
              <w:rPr>
                <w:rFonts w:eastAsia="仿宋_GB2312"/>
                <w:color w:val="000000"/>
                <w:kern w:val="0"/>
                <w:sz w:val="24"/>
              </w:rPr>
            </w:pPr>
            <m:oMathPara>
              <m:oMathParaPr>
                <m:jc m:val="left"/>
              </m:oMathParaPr>
              <m:oMath>
                <m:r>
                  <w:rPr>
                    <w:rFonts w:ascii="Cambria Math" w:eastAsia="仿宋_GB2312" w:hAnsi="Cambria Math"/>
                    <w:color w:val="000000"/>
                    <w:kern w:val="0"/>
                    <w:sz w:val="24"/>
                  </w:rPr>
                  <m:t xml:space="preserve">        X=A/B</m:t>
                </m:r>
              </m:oMath>
            </m:oMathPara>
          </w:p>
          <w:p w:rsidR="004C1E9A" w:rsidRPr="00EE018B" w:rsidRDefault="004C1E9A" w:rsidP="00FD2AD2">
            <w:pPr>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snapToGrid w:val="0"/>
              <w:rPr>
                <w:rFonts w:eastAsia="仿宋_GB2312"/>
                <w:color w:val="000000"/>
                <w:kern w:val="0"/>
                <w:sz w:val="24"/>
              </w:rPr>
            </w:pPr>
            <m:oMath>
              <m:r>
                <w:rPr>
                  <w:rFonts w:ascii="Cambria Math" w:eastAsia="仿宋_GB2312" w:hAnsi="Cambria Math"/>
                  <w:color w:val="000000"/>
                  <w:kern w:val="0"/>
                  <w:sz w:val="24"/>
                </w:rPr>
                <m:t xml:space="preserve">         A</m:t>
              </m:r>
            </m:oMath>
            <w:r w:rsidRPr="00EE018B">
              <w:rPr>
                <w:rFonts w:eastAsia="仿宋_GB2312"/>
                <w:color w:val="000000"/>
                <w:kern w:val="0"/>
                <w:sz w:val="24"/>
              </w:rPr>
              <w:t>=</w:t>
            </w:r>
            <w:r w:rsidRPr="00EE018B">
              <w:rPr>
                <w:rFonts w:eastAsia="仿宋_GB2312" w:hint="eastAsia"/>
                <w:color w:val="000000"/>
                <w:kern w:val="0"/>
                <w:sz w:val="24"/>
              </w:rPr>
              <w:t>数据集内容表述正确的元素数量</w:t>
            </w:r>
          </w:p>
          <w:p w:rsidR="004C1E9A" w:rsidRPr="00EE018B" w:rsidRDefault="004C1E9A" w:rsidP="00FD2AD2">
            <w:pPr>
              <w:pStyle w:val="Default"/>
              <w:snapToGrid w:val="0"/>
              <w:jc w:val="both"/>
              <w:outlineLvl w:val="0"/>
              <w:rPr>
                <w:rFonts w:ascii="Times New Roman" w:eastAsia="仿宋_GB2312" w:cs="Times New Roman"/>
                <w:bCs/>
                <w:color w:val="auto"/>
                <w:kern w:val="2"/>
              </w:rPr>
            </w:pPr>
            <m:oMath>
              <m:r>
                <w:rPr>
                  <w:rFonts w:ascii="Cambria Math" w:eastAsia="仿宋_GB2312" w:hAnsi="Cambria Math"/>
                </w:rPr>
                <m:t xml:space="preserve">         B</m:t>
              </m:r>
            </m:oMath>
            <w:r w:rsidRPr="00EE018B">
              <w:rPr>
                <w:rFonts w:ascii="Times New Roman" w:eastAsia="仿宋_GB2312" w:cs="Times New Roman"/>
              </w:rPr>
              <w:t>=</w:t>
            </w:r>
            <w:r w:rsidRPr="00EE018B">
              <w:rPr>
                <w:rFonts w:eastAsia="仿宋_GB2312" w:hint="eastAsia"/>
              </w:rPr>
              <w:t>数据集元素总数量</w:t>
            </w:r>
          </w:p>
        </w:tc>
      </w:tr>
      <w:tr w:rsidR="004C1E9A" w:rsidTr="00FD2AD2">
        <w:trPr>
          <w:cantSplit/>
        </w:trPr>
        <w:tc>
          <w:tcPr>
            <w:tcW w:w="1555" w:type="dxa"/>
            <w:vMerge/>
          </w:tcPr>
          <w:p w:rsidR="004C1E9A" w:rsidRPr="00EE018B" w:rsidRDefault="004C1E9A" w:rsidP="00FD2AD2">
            <w:pPr>
              <w:pStyle w:val="Default"/>
              <w:snapToGrid w:val="0"/>
              <w:jc w:val="center"/>
              <w:outlineLvl w:val="0"/>
              <w:rPr>
                <w:rFonts w:ascii="Times New Roman" w:eastAsia="仿宋_GB2312" w:cs="Times New Roman"/>
                <w:bCs/>
                <w:color w:val="auto"/>
                <w:kern w:val="2"/>
              </w:rPr>
            </w:pP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精度</w:t>
            </w:r>
          </w:p>
          <w:p w:rsidR="004C1E9A" w:rsidRPr="00EE018B" w:rsidRDefault="004C1E9A" w:rsidP="00FD2AD2">
            <w:pPr>
              <w:pStyle w:val="Default"/>
              <w:snapToGrid w:val="0"/>
              <w:jc w:val="center"/>
              <w:outlineLvl w:val="0"/>
              <w:rPr>
                <w:rFonts w:ascii="Times New Roman" w:eastAsia="仿宋_GB2312" w:cs="Times New Roman"/>
                <w:bCs/>
                <w:color w:val="auto"/>
                <w:kern w:val="2"/>
              </w:rPr>
            </w:pPr>
            <w:r w:rsidRPr="00EE018B">
              <w:rPr>
                <w:rFonts w:eastAsia="仿宋_GB2312" w:hint="eastAsia"/>
              </w:rPr>
              <w:t>准确率</w:t>
            </w:r>
          </w:p>
        </w:tc>
        <w:tc>
          <w:tcPr>
            <w:tcW w:w="6145" w:type="dxa"/>
            <w:vAlign w:val="center"/>
          </w:tcPr>
          <w:p w:rsidR="004C1E9A" w:rsidRPr="00EE018B" w:rsidRDefault="004C1E9A" w:rsidP="00FD2AD2">
            <w:pPr>
              <w:snapToGrid w:val="0"/>
              <w:rPr>
                <w:rFonts w:eastAsia="仿宋_GB2312"/>
                <w:color w:val="000000"/>
                <w:kern w:val="0"/>
                <w:sz w:val="24"/>
              </w:rPr>
            </w:pPr>
            <w:r w:rsidRPr="00EE018B">
              <w:rPr>
                <w:rFonts w:eastAsia="仿宋_GB2312" w:hint="eastAsia"/>
                <w:color w:val="000000"/>
                <w:kern w:val="0"/>
                <w:sz w:val="24"/>
              </w:rPr>
              <w:t>数据项精度符合标准规范的元素数量与元素总数量之比。数据项是指对应于数据源中一列信息的一组完整的内容。</w:t>
            </w:r>
          </w:p>
          <w:p w:rsidR="004C1E9A" w:rsidRPr="00EE018B" w:rsidRDefault="004C1E9A" w:rsidP="00FD2AD2">
            <w:pPr>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数据项精度符合标准规范的元素数量</w:t>
            </w:r>
          </w:p>
          <w:p w:rsidR="004C1E9A" w:rsidRPr="00EE018B" w:rsidRDefault="004C1E9A" w:rsidP="00FD2AD2">
            <w:pPr>
              <w:pStyle w:val="Default"/>
              <w:snapToGrid w:val="0"/>
              <w:jc w:val="both"/>
              <w:outlineLvl w:val="0"/>
              <w:rPr>
                <w:rFonts w:ascii="Times New Roman" w:eastAsia="仿宋_GB2312" w:cs="Times New Roman"/>
                <w:bCs/>
                <w:color w:val="auto"/>
                <w:kern w:val="2"/>
              </w:rPr>
            </w:pPr>
            <m:oMath>
              <m:r>
                <w:rPr>
                  <w:rFonts w:ascii="Cambria Math" w:eastAsia="仿宋_GB2312" w:hAnsi="Cambria Math"/>
                </w:rPr>
                <m:t xml:space="preserve">         B</m:t>
              </m:r>
            </m:oMath>
            <w:r w:rsidRPr="00EE018B">
              <w:rPr>
                <w:rFonts w:ascii="Times New Roman" w:eastAsia="仿宋_GB2312" w:cs="Times New Roman"/>
              </w:rPr>
              <w:t>=</w:t>
            </w:r>
            <w:r w:rsidRPr="00EE018B">
              <w:rPr>
                <w:rFonts w:eastAsia="仿宋_GB2312" w:hint="eastAsia"/>
              </w:rPr>
              <w:t>数据项元素总数量</w:t>
            </w:r>
          </w:p>
        </w:tc>
      </w:tr>
      <w:tr w:rsidR="004C1E9A" w:rsidTr="00FD2AD2">
        <w:trPr>
          <w:cantSplit/>
        </w:trPr>
        <w:tc>
          <w:tcPr>
            <w:tcW w:w="1555" w:type="dxa"/>
            <w:vMerge/>
          </w:tcPr>
          <w:p w:rsidR="004C1E9A" w:rsidRPr="00EE018B" w:rsidRDefault="004C1E9A" w:rsidP="00FD2AD2">
            <w:pPr>
              <w:pStyle w:val="Default"/>
              <w:snapToGrid w:val="0"/>
              <w:jc w:val="center"/>
              <w:outlineLvl w:val="0"/>
              <w:rPr>
                <w:rFonts w:ascii="Times New Roman" w:eastAsia="仿宋_GB2312" w:cs="Times New Roman"/>
                <w:bCs/>
                <w:color w:val="auto"/>
                <w:kern w:val="2"/>
              </w:rPr>
            </w:pP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记录</w:t>
            </w:r>
          </w:p>
          <w:p w:rsidR="004C1E9A" w:rsidRPr="00EE018B" w:rsidRDefault="004C1E9A" w:rsidP="00FD2AD2">
            <w:pPr>
              <w:pStyle w:val="Default"/>
              <w:snapToGrid w:val="0"/>
              <w:jc w:val="center"/>
              <w:outlineLvl w:val="0"/>
              <w:rPr>
                <w:rFonts w:ascii="Times New Roman" w:eastAsia="仿宋_GB2312" w:cs="Times New Roman"/>
                <w:bCs/>
                <w:color w:val="auto"/>
                <w:kern w:val="2"/>
              </w:rPr>
            </w:pPr>
            <w:r w:rsidRPr="00EE018B">
              <w:rPr>
                <w:rFonts w:eastAsia="仿宋_GB2312" w:hint="eastAsia"/>
              </w:rPr>
              <w:t>重复率</w:t>
            </w:r>
          </w:p>
        </w:tc>
        <w:tc>
          <w:tcPr>
            <w:tcW w:w="6145" w:type="dxa"/>
            <w:vAlign w:val="center"/>
          </w:tcPr>
          <w:p w:rsidR="004C1E9A" w:rsidRPr="00EE018B" w:rsidRDefault="004C1E9A" w:rsidP="00FD2AD2">
            <w:pPr>
              <w:snapToGrid w:val="0"/>
              <w:rPr>
                <w:rFonts w:eastAsia="仿宋_GB2312"/>
                <w:color w:val="000000"/>
                <w:kern w:val="0"/>
                <w:sz w:val="24"/>
              </w:rPr>
            </w:pPr>
            <w:r w:rsidRPr="00EE018B">
              <w:rPr>
                <w:rFonts w:eastAsia="仿宋_GB2312" w:hint="eastAsia"/>
                <w:color w:val="000000"/>
                <w:kern w:val="0"/>
                <w:sz w:val="24"/>
              </w:rPr>
              <w:t>数据集重复记录条数与记录总条数之比。数据记录是指对应于数据源中一行信息的一组完整的内容。</w:t>
            </w:r>
          </w:p>
          <w:p w:rsidR="004C1E9A" w:rsidRPr="00EE018B" w:rsidRDefault="004C1E9A" w:rsidP="004C1E9A">
            <w:pPr>
              <w:snapToGrid w:val="0"/>
              <w:ind w:leftChars="200" w:left="420" w:firstLineChars="800" w:firstLine="19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数据集重复记录条数</w:t>
            </w:r>
          </w:p>
          <w:p w:rsidR="004C1E9A" w:rsidRPr="00EE018B" w:rsidRDefault="004C1E9A" w:rsidP="00FD2AD2">
            <w:pPr>
              <w:pStyle w:val="Default"/>
              <w:snapToGrid w:val="0"/>
              <w:jc w:val="both"/>
              <w:outlineLvl w:val="0"/>
              <w:rPr>
                <w:rFonts w:ascii="Times New Roman" w:eastAsia="仿宋_GB2312" w:cs="Times New Roman"/>
                <w:bCs/>
                <w:color w:val="auto"/>
                <w:kern w:val="2"/>
              </w:rPr>
            </w:pPr>
            <m:oMath>
              <m:r>
                <w:rPr>
                  <w:rFonts w:ascii="Cambria Math" w:eastAsia="仿宋_GB2312" w:hAnsi="Cambria Math"/>
                </w:rPr>
                <m:t xml:space="preserve">         B</m:t>
              </m:r>
            </m:oMath>
            <w:r w:rsidRPr="00EE018B">
              <w:rPr>
                <w:rFonts w:ascii="Times New Roman" w:eastAsia="仿宋_GB2312" w:cs="Times New Roman"/>
              </w:rPr>
              <w:t>=</w:t>
            </w:r>
            <w:r w:rsidRPr="00EE018B">
              <w:rPr>
                <w:rFonts w:eastAsia="仿宋_GB2312" w:hint="eastAsia"/>
              </w:rPr>
              <w:t>数据集记录总条数</w:t>
            </w:r>
          </w:p>
        </w:tc>
      </w:tr>
      <w:tr w:rsidR="004C1E9A" w:rsidTr="00FD2AD2">
        <w:trPr>
          <w:cantSplit/>
        </w:trPr>
        <w:tc>
          <w:tcPr>
            <w:tcW w:w="1555" w:type="dxa"/>
            <w:vMerge/>
          </w:tcPr>
          <w:p w:rsidR="004C1E9A" w:rsidRPr="00EE018B" w:rsidRDefault="004C1E9A" w:rsidP="00FD2AD2">
            <w:pPr>
              <w:pStyle w:val="Default"/>
              <w:snapToGrid w:val="0"/>
              <w:jc w:val="center"/>
              <w:outlineLvl w:val="0"/>
              <w:rPr>
                <w:rFonts w:ascii="Times New Roman" w:eastAsia="仿宋_GB2312" w:cs="Times New Roman"/>
                <w:bCs/>
                <w:color w:val="auto"/>
                <w:kern w:val="2"/>
              </w:rPr>
            </w:pP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脏数据</w:t>
            </w:r>
          </w:p>
          <w:p w:rsidR="004C1E9A" w:rsidRPr="00EE018B" w:rsidRDefault="004C1E9A" w:rsidP="00FD2AD2">
            <w:pPr>
              <w:pStyle w:val="Default"/>
              <w:snapToGrid w:val="0"/>
              <w:jc w:val="center"/>
              <w:outlineLvl w:val="0"/>
              <w:rPr>
                <w:rFonts w:ascii="Times New Roman" w:eastAsia="仿宋_GB2312" w:cs="Times New Roman"/>
                <w:bCs/>
                <w:color w:val="auto"/>
                <w:kern w:val="2"/>
              </w:rPr>
            </w:pPr>
            <w:r w:rsidRPr="00EE018B">
              <w:rPr>
                <w:rFonts w:eastAsia="仿宋_GB2312" w:hint="eastAsia"/>
              </w:rPr>
              <w:t>出现率</w:t>
            </w:r>
          </w:p>
        </w:tc>
        <w:tc>
          <w:tcPr>
            <w:tcW w:w="6145" w:type="dxa"/>
            <w:vAlign w:val="center"/>
          </w:tcPr>
          <w:p w:rsidR="004C1E9A" w:rsidRPr="00EE018B" w:rsidRDefault="004C1E9A" w:rsidP="00FD2AD2">
            <w:pPr>
              <w:snapToGrid w:val="0"/>
              <w:rPr>
                <w:rFonts w:eastAsia="仿宋_GB2312"/>
                <w:color w:val="000000"/>
                <w:kern w:val="0"/>
                <w:sz w:val="24"/>
              </w:rPr>
            </w:pPr>
            <w:r w:rsidRPr="00EE018B">
              <w:rPr>
                <w:rFonts w:eastAsia="仿宋_GB2312" w:hint="eastAsia"/>
                <w:color w:val="000000"/>
                <w:kern w:val="0"/>
                <w:sz w:val="24"/>
              </w:rPr>
              <w:t>数据集无效数据（非法字符和业务含义错误的数据）元素数量与元素总数量之比。</w:t>
            </w:r>
          </w:p>
          <w:p w:rsidR="004C1E9A" w:rsidRPr="00EE018B" w:rsidRDefault="004C1E9A" w:rsidP="00FD2AD2">
            <w:pPr>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数据集无效数据（非法字符和业务含义错误的数据）元素数量</w:t>
            </w:r>
          </w:p>
          <w:p w:rsidR="004C1E9A" w:rsidRPr="00EE018B" w:rsidRDefault="004C1E9A" w:rsidP="00FD2AD2">
            <w:pPr>
              <w:pStyle w:val="Default"/>
              <w:snapToGrid w:val="0"/>
              <w:jc w:val="both"/>
              <w:outlineLvl w:val="0"/>
              <w:rPr>
                <w:rFonts w:ascii="Times New Roman" w:eastAsia="仿宋_GB2312" w:cs="Times New Roman"/>
                <w:bCs/>
                <w:color w:val="auto"/>
                <w:kern w:val="2"/>
              </w:rPr>
            </w:pPr>
            <m:oMath>
              <m:r>
                <w:rPr>
                  <w:rFonts w:ascii="Cambria Math" w:eastAsia="仿宋_GB2312" w:hAnsi="Cambria Math"/>
                </w:rPr>
                <m:t xml:space="preserve">         B</m:t>
              </m:r>
            </m:oMath>
            <w:r w:rsidRPr="00EE018B">
              <w:rPr>
                <w:rFonts w:ascii="Times New Roman" w:eastAsia="仿宋_GB2312" w:cs="Times New Roman"/>
              </w:rPr>
              <w:t>=</w:t>
            </w:r>
            <w:r w:rsidRPr="00EE018B">
              <w:rPr>
                <w:rFonts w:eastAsia="仿宋_GB2312" w:hint="eastAsia"/>
              </w:rPr>
              <w:t>数据集元素总数量</w:t>
            </w:r>
          </w:p>
        </w:tc>
      </w:tr>
      <w:tr w:rsidR="004C1E9A" w:rsidTr="00FD2AD2">
        <w:trPr>
          <w:cantSplit/>
        </w:trPr>
        <w:tc>
          <w:tcPr>
            <w:tcW w:w="1555" w:type="dxa"/>
            <w:vAlign w:val="center"/>
          </w:tcPr>
          <w:p w:rsidR="004C1E9A" w:rsidRPr="00EE018B" w:rsidRDefault="004C1E9A" w:rsidP="00FD2AD2">
            <w:pPr>
              <w:snapToGrid w:val="0"/>
              <w:rPr>
                <w:rFonts w:eastAsia="仿宋_GB2312"/>
                <w:b/>
                <w:bCs/>
                <w:color w:val="000000"/>
                <w:kern w:val="0"/>
                <w:sz w:val="24"/>
              </w:rPr>
            </w:pPr>
            <w:r w:rsidRPr="00EE018B">
              <w:rPr>
                <w:rFonts w:eastAsia="仿宋_GB2312" w:hint="eastAsia"/>
                <w:b/>
                <w:bCs/>
                <w:color w:val="000000"/>
                <w:kern w:val="0"/>
                <w:sz w:val="24"/>
              </w:rPr>
              <w:t>一致性：</w:t>
            </w:r>
          </w:p>
          <w:p w:rsidR="004C1E9A" w:rsidRPr="00EE018B" w:rsidRDefault="004C1E9A" w:rsidP="00FD2AD2">
            <w:pPr>
              <w:pStyle w:val="Default"/>
              <w:snapToGrid w:val="0"/>
              <w:jc w:val="both"/>
              <w:outlineLvl w:val="0"/>
              <w:rPr>
                <w:rFonts w:ascii="Times New Roman" w:eastAsia="仿宋_GB2312" w:cs="Times New Roman"/>
                <w:bCs/>
                <w:color w:val="auto"/>
                <w:kern w:val="2"/>
              </w:rPr>
            </w:pPr>
            <w:r w:rsidRPr="00EE018B">
              <w:rPr>
                <w:rFonts w:eastAsia="仿宋_GB2312" w:hint="eastAsia"/>
              </w:rPr>
              <w:t>即不同数据资产描述同一个事物和事件的无矛盾程度。</w:t>
            </w: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元素赋值</w:t>
            </w:r>
          </w:p>
          <w:p w:rsidR="004C1E9A" w:rsidRPr="00EE018B" w:rsidRDefault="004C1E9A" w:rsidP="00FD2AD2">
            <w:pPr>
              <w:pStyle w:val="Default"/>
              <w:snapToGrid w:val="0"/>
              <w:jc w:val="center"/>
              <w:outlineLvl w:val="0"/>
              <w:rPr>
                <w:rFonts w:ascii="Times New Roman" w:eastAsia="仿宋_GB2312" w:cs="Times New Roman"/>
                <w:bCs/>
                <w:color w:val="auto"/>
                <w:kern w:val="2"/>
              </w:rPr>
            </w:pPr>
            <w:r w:rsidRPr="00EE018B">
              <w:rPr>
                <w:rFonts w:eastAsia="仿宋_GB2312" w:hint="eastAsia"/>
              </w:rPr>
              <w:t>一致率</w:t>
            </w:r>
          </w:p>
        </w:tc>
        <w:tc>
          <w:tcPr>
            <w:tcW w:w="6145" w:type="dxa"/>
            <w:vAlign w:val="center"/>
          </w:tcPr>
          <w:p w:rsidR="004C1E9A" w:rsidRPr="00EE018B" w:rsidRDefault="004C1E9A" w:rsidP="00FD2AD2">
            <w:pPr>
              <w:snapToGrid w:val="0"/>
              <w:rPr>
                <w:rFonts w:eastAsia="仿宋_GB2312"/>
                <w:color w:val="000000"/>
                <w:kern w:val="0"/>
                <w:sz w:val="24"/>
              </w:rPr>
            </w:pPr>
            <w:r w:rsidRPr="00EE018B">
              <w:rPr>
                <w:rFonts w:eastAsia="仿宋_GB2312" w:hint="eastAsia"/>
                <w:color w:val="000000"/>
                <w:kern w:val="0"/>
                <w:sz w:val="24"/>
              </w:rPr>
              <w:t>数据集具有相同含义数据（同一时点、存储在不同位置）赋值一致的元素数量与元素总数量之比。</w:t>
            </w:r>
          </w:p>
          <w:p w:rsidR="004C1E9A" w:rsidRPr="00EE018B" w:rsidRDefault="004C1E9A" w:rsidP="00FD2AD2">
            <w:pPr>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数据集具有相同含义数据（同一时点、存储在不同位置）赋值一致的元素数量</w:t>
            </w:r>
          </w:p>
          <w:p w:rsidR="004C1E9A" w:rsidRPr="00EE018B" w:rsidRDefault="004C1E9A" w:rsidP="00FD2AD2">
            <w:pPr>
              <w:pStyle w:val="Default"/>
              <w:snapToGrid w:val="0"/>
              <w:jc w:val="both"/>
              <w:outlineLvl w:val="0"/>
              <w:rPr>
                <w:rFonts w:ascii="Times New Roman" w:eastAsia="仿宋_GB2312" w:cs="Times New Roman"/>
                <w:bCs/>
                <w:color w:val="auto"/>
                <w:kern w:val="2"/>
              </w:rPr>
            </w:pPr>
            <m:oMath>
              <m:r>
                <w:rPr>
                  <w:rFonts w:ascii="Cambria Math" w:eastAsia="仿宋_GB2312" w:hAnsi="Cambria Math"/>
                </w:rPr>
                <m:t xml:space="preserve">         B</m:t>
              </m:r>
            </m:oMath>
            <w:r w:rsidRPr="00EE018B">
              <w:rPr>
                <w:rFonts w:ascii="Times New Roman" w:eastAsia="仿宋_GB2312" w:cs="Times New Roman"/>
              </w:rPr>
              <w:t>=</w:t>
            </w:r>
            <w:r w:rsidRPr="00EE018B">
              <w:rPr>
                <w:rFonts w:eastAsia="仿宋_GB2312" w:hint="eastAsia"/>
              </w:rPr>
              <w:t>数据集元素总数量</w:t>
            </w:r>
          </w:p>
        </w:tc>
      </w:tr>
      <w:tr w:rsidR="004C1E9A" w:rsidTr="00FD2AD2">
        <w:trPr>
          <w:cantSplit/>
        </w:trPr>
        <w:tc>
          <w:tcPr>
            <w:tcW w:w="1555" w:type="dxa"/>
            <w:vMerge w:val="restart"/>
            <w:vAlign w:val="center"/>
          </w:tcPr>
          <w:p w:rsidR="004C1E9A" w:rsidRPr="00EE018B" w:rsidRDefault="004C1E9A" w:rsidP="00FD2AD2">
            <w:pPr>
              <w:widowControl/>
              <w:snapToGrid w:val="0"/>
              <w:rPr>
                <w:rFonts w:eastAsia="仿宋_GB2312"/>
                <w:b/>
                <w:bCs/>
                <w:color w:val="000000"/>
                <w:kern w:val="0"/>
                <w:sz w:val="24"/>
              </w:rPr>
            </w:pPr>
            <w:r w:rsidRPr="00EE018B">
              <w:rPr>
                <w:rFonts w:eastAsia="仿宋_GB2312" w:hint="eastAsia"/>
                <w:b/>
                <w:bCs/>
                <w:color w:val="000000"/>
                <w:kern w:val="0"/>
                <w:sz w:val="24"/>
              </w:rPr>
              <w:lastRenderedPageBreak/>
              <w:t>完整性：</w:t>
            </w:r>
          </w:p>
          <w:p w:rsidR="004C1E9A" w:rsidRPr="00EE018B" w:rsidRDefault="004C1E9A" w:rsidP="00FD2AD2">
            <w:pPr>
              <w:pStyle w:val="Default"/>
              <w:snapToGrid w:val="0"/>
              <w:jc w:val="both"/>
              <w:outlineLvl w:val="0"/>
              <w:rPr>
                <w:rFonts w:ascii="Times New Roman" w:eastAsia="仿宋_GB2312" w:cs="Times New Roman"/>
                <w:bCs/>
                <w:color w:val="auto"/>
                <w:kern w:val="2"/>
              </w:rPr>
            </w:pPr>
            <w:r w:rsidRPr="00EE018B">
              <w:rPr>
                <w:rFonts w:eastAsia="仿宋_GB2312" w:hint="eastAsia"/>
              </w:rPr>
              <w:t>即构成数据资产的数据元素被赋予数值程度。</w:t>
            </w: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元素</w:t>
            </w:r>
          </w:p>
          <w:p w:rsidR="004C1E9A" w:rsidRPr="00EE018B" w:rsidRDefault="004C1E9A" w:rsidP="00FD2AD2">
            <w:pPr>
              <w:pStyle w:val="Default"/>
              <w:snapToGrid w:val="0"/>
              <w:jc w:val="center"/>
              <w:outlineLvl w:val="0"/>
              <w:rPr>
                <w:rFonts w:eastAsia="仿宋_GB2312"/>
              </w:rPr>
            </w:pPr>
            <w:r w:rsidRPr="00EE018B">
              <w:rPr>
                <w:rFonts w:eastAsia="仿宋_GB2312" w:hint="eastAsia"/>
              </w:rPr>
              <w:t>填充率</w:t>
            </w:r>
          </w:p>
        </w:tc>
        <w:tc>
          <w:tcPr>
            <w:tcW w:w="6145" w:type="dxa"/>
            <w:vAlign w:val="center"/>
          </w:tcPr>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数据集赋值的元素数量与元素总数量之比。</w:t>
            </w:r>
          </w:p>
          <w:p w:rsidR="004C1E9A" w:rsidRPr="00EE018B" w:rsidRDefault="004C1E9A" w:rsidP="00FD2AD2">
            <w:pPr>
              <w:widowControl/>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widowControl/>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数据集赋值的元素数量</w:t>
            </w:r>
          </w:p>
          <w:p w:rsidR="004C1E9A" w:rsidRPr="00EE018B" w:rsidRDefault="004C1E9A" w:rsidP="00FD2AD2">
            <w:pPr>
              <w:snapToGrid w:val="0"/>
              <w:rPr>
                <w:rFonts w:eastAsia="仿宋_GB2312"/>
                <w:color w:val="000000"/>
                <w:kern w:val="0"/>
                <w:sz w:val="24"/>
              </w:rPr>
            </w:pPr>
            <m:oMath>
              <m:r>
                <w:rPr>
                  <w:rFonts w:ascii="Cambria Math" w:eastAsia="仿宋_GB2312" w:hAnsi="Cambria Math"/>
                  <w:color w:val="000000"/>
                  <w:kern w:val="0"/>
                  <w:sz w:val="24"/>
                </w:rPr>
                <m:t xml:space="preserve">         B</m:t>
              </m:r>
            </m:oMath>
            <w:r w:rsidRPr="00EE018B">
              <w:rPr>
                <w:rFonts w:eastAsia="仿宋_GB2312"/>
                <w:color w:val="000000"/>
                <w:kern w:val="0"/>
                <w:sz w:val="24"/>
              </w:rPr>
              <w:t>=</w:t>
            </w:r>
            <w:r w:rsidRPr="00EE018B">
              <w:rPr>
                <w:rFonts w:eastAsia="仿宋_GB2312" w:hint="eastAsia"/>
                <w:color w:val="000000"/>
                <w:kern w:val="0"/>
                <w:sz w:val="24"/>
              </w:rPr>
              <w:t>数据集元素总数量</w:t>
            </w:r>
          </w:p>
        </w:tc>
      </w:tr>
      <w:tr w:rsidR="004C1E9A" w:rsidTr="00FD2AD2">
        <w:trPr>
          <w:cantSplit/>
        </w:trPr>
        <w:tc>
          <w:tcPr>
            <w:tcW w:w="1555" w:type="dxa"/>
            <w:vMerge/>
          </w:tcPr>
          <w:p w:rsidR="004C1E9A" w:rsidRPr="00EE018B" w:rsidRDefault="004C1E9A" w:rsidP="00FD2AD2">
            <w:pPr>
              <w:pStyle w:val="Default"/>
              <w:snapToGrid w:val="0"/>
              <w:jc w:val="center"/>
              <w:outlineLvl w:val="0"/>
              <w:rPr>
                <w:rFonts w:ascii="Times New Roman" w:eastAsia="仿宋_GB2312" w:cs="Times New Roman"/>
                <w:bCs/>
                <w:color w:val="auto"/>
                <w:kern w:val="2"/>
              </w:rPr>
            </w:pP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记录</w:t>
            </w:r>
          </w:p>
          <w:p w:rsidR="004C1E9A" w:rsidRPr="00EE018B" w:rsidRDefault="004C1E9A" w:rsidP="00FD2AD2">
            <w:pPr>
              <w:pStyle w:val="Default"/>
              <w:snapToGrid w:val="0"/>
              <w:jc w:val="center"/>
              <w:outlineLvl w:val="0"/>
              <w:rPr>
                <w:rFonts w:eastAsia="仿宋_GB2312"/>
              </w:rPr>
            </w:pPr>
            <w:r w:rsidRPr="00EE018B">
              <w:rPr>
                <w:rFonts w:eastAsia="仿宋_GB2312" w:hint="eastAsia"/>
              </w:rPr>
              <w:t>填充率</w:t>
            </w:r>
          </w:p>
        </w:tc>
        <w:tc>
          <w:tcPr>
            <w:tcW w:w="6145" w:type="dxa"/>
            <w:vAlign w:val="center"/>
          </w:tcPr>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数据集赋值完整的记录条数与记录总条数之比。</w:t>
            </w:r>
          </w:p>
          <w:p w:rsidR="004C1E9A" w:rsidRPr="00EE018B" w:rsidRDefault="004C1E9A" w:rsidP="00FD2AD2">
            <w:pPr>
              <w:widowControl/>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widowControl/>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数据集赋值完整的记录条数</w:t>
            </w:r>
          </w:p>
          <w:p w:rsidR="004C1E9A" w:rsidRPr="00EE018B" w:rsidRDefault="004C1E9A" w:rsidP="00FD2AD2">
            <w:pPr>
              <w:snapToGrid w:val="0"/>
              <w:rPr>
                <w:rFonts w:eastAsia="仿宋_GB2312"/>
                <w:color w:val="000000"/>
                <w:kern w:val="0"/>
                <w:sz w:val="24"/>
              </w:rPr>
            </w:pPr>
            <m:oMath>
              <m:r>
                <w:rPr>
                  <w:rFonts w:ascii="Cambria Math" w:eastAsia="仿宋_GB2312" w:hAnsi="Cambria Math"/>
                  <w:color w:val="000000"/>
                  <w:kern w:val="0"/>
                  <w:sz w:val="24"/>
                </w:rPr>
                <m:t xml:space="preserve">         B</m:t>
              </m:r>
            </m:oMath>
            <w:r w:rsidRPr="00EE018B">
              <w:rPr>
                <w:rFonts w:eastAsia="仿宋_GB2312"/>
                <w:color w:val="000000"/>
                <w:kern w:val="0"/>
                <w:sz w:val="24"/>
              </w:rPr>
              <w:t>=</w:t>
            </w:r>
            <w:r w:rsidRPr="00EE018B">
              <w:rPr>
                <w:rFonts w:eastAsia="仿宋_GB2312" w:hint="eastAsia"/>
                <w:color w:val="000000"/>
                <w:kern w:val="0"/>
                <w:sz w:val="24"/>
              </w:rPr>
              <w:t>数据集记录总条数</w:t>
            </w:r>
          </w:p>
        </w:tc>
      </w:tr>
      <w:tr w:rsidR="004C1E9A" w:rsidTr="00FD2AD2">
        <w:trPr>
          <w:cantSplit/>
        </w:trPr>
        <w:tc>
          <w:tcPr>
            <w:tcW w:w="1555" w:type="dxa"/>
            <w:vMerge/>
          </w:tcPr>
          <w:p w:rsidR="004C1E9A" w:rsidRPr="00EE018B" w:rsidRDefault="004C1E9A" w:rsidP="00FD2AD2">
            <w:pPr>
              <w:pStyle w:val="Default"/>
              <w:snapToGrid w:val="0"/>
              <w:jc w:val="center"/>
              <w:outlineLvl w:val="0"/>
              <w:rPr>
                <w:rFonts w:ascii="Times New Roman" w:eastAsia="仿宋_GB2312" w:cs="Times New Roman"/>
                <w:bCs/>
                <w:color w:val="auto"/>
                <w:kern w:val="2"/>
              </w:rPr>
            </w:pP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数据项</w:t>
            </w:r>
          </w:p>
          <w:p w:rsidR="004C1E9A" w:rsidRPr="00EE018B" w:rsidRDefault="004C1E9A" w:rsidP="00FD2AD2">
            <w:pPr>
              <w:pStyle w:val="Default"/>
              <w:snapToGrid w:val="0"/>
              <w:jc w:val="center"/>
              <w:outlineLvl w:val="0"/>
              <w:rPr>
                <w:rFonts w:eastAsia="仿宋_GB2312"/>
              </w:rPr>
            </w:pPr>
            <w:r w:rsidRPr="00EE018B">
              <w:rPr>
                <w:rFonts w:eastAsia="仿宋_GB2312" w:hint="eastAsia"/>
              </w:rPr>
              <w:t>填充率</w:t>
            </w:r>
          </w:p>
        </w:tc>
        <w:tc>
          <w:tcPr>
            <w:tcW w:w="6145" w:type="dxa"/>
            <w:vAlign w:val="center"/>
          </w:tcPr>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数据集赋值完整的数据项数量与数据项总数量之比。</w:t>
            </w:r>
          </w:p>
          <w:p w:rsidR="004C1E9A" w:rsidRPr="00EE018B" w:rsidRDefault="004C1E9A" w:rsidP="00FD2AD2">
            <w:pPr>
              <w:widowControl/>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widowControl/>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数据集赋值完整的数据项数量</w:t>
            </w:r>
          </w:p>
          <w:p w:rsidR="004C1E9A" w:rsidRPr="00EE018B" w:rsidRDefault="004C1E9A" w:rsidP="00FD2AD2">
            <w:pPr>
              <w:snapToGrid w:val="0"/>
              <w:rPr>
                <w:rFonts w:eastAsia="仿宋_GB2312"/>
                <w:color w:val="000000"/>
                <w:kern w:val="0"/>
                <w:sz w:val="24"/>
              </w:rPr>
            </w:pPr>
            <m:oMath>
              <m:r>
                <w:rPr>
                  <w:rFonts w:ascii="Cambria Math" w:eastAsia="仿宋_GB2312" w:hAnsi="Cambria Math"/>
                  <w:color w:val="000000"/>
                  <w:kern w:val="0"/>
                  <w:sz w:val="24"/>
                </w:rPr>
                <m:t xml:space="preserve">         B</m:t>
              </m:r>
            </m:oMath>
            <w:r w:rsidRPr="00EE018B">
              <w:rPr>
                <w:rFonts w:eastAsia="仿宋_GB2312"/>
                <w:color w:val="000000"/>
                <w:kern w:val="0"/>
                <w:sz w:val="24"/>
              </w:rPr>
              <w:t>=</w:t>
            </w:r>
            <w:r w:rsidRPr="00EE018B">
              <w:rPr>
                <w:rFonts w:eastAsia="仿宋_GB2312" w:hint="eastAsia"/>
                <w:color w:val="000000"/>
                <w:kern w:val="0"/>
                <w:sz w:val="24"/>
              </w:rPr>
              <w:t>数据集数据项总数量</w:t>
            </w:r>
          </w:p>
        </w:tc>
      </w:tr>
      <w:tr w:rsidR="004C1E9A" w:rsidTr="00FD2AD2">
        <w:trPr>
          <w:cantSplit/>
        </w:trPr>
        <w:tc>
          <w:tcPr>
            <w:tcW w:w="1555" w:type="dxa"/>
            <w:vMerge w:val="restart"/>
            <w:vAlign w:val="center"/>
          </w:tcPr>
          <w:p w:rsidR="004C1E9A" w:rsidRPr="00EE018B" w:rsidRDefault="004C1E9A" w:rsidP="00FD2AD2">
            <w:pPr>
              <w:widowControl/>
              <w:snapToGrid w:val="0"/>
              <w:rPr>
                <w:rFonts w:eastAsia="仿宋_GB2312"/>
                <w:b/>
                <w:bCs/>
                <w:color w:val="000000"/>
                <w:kern w:val="0"/>
                <w:sz w:val="24"/>
              </w:rPr>
            </w:pPr>
            <w:r w:rsidRPr="00EE018B">
              <w:rPr>
                <w:rFonts w:eastAsia="仿宋_GB2312" w:hint="eastAsia"/>
                <w:b/>
                <w:bCs/>
                <w:color w:val="000000"/>
                <w:kern w:val="0"/>
                <w:sz w:val="24"/>
              </w:rPr>
              <w:t>规范性：</w:t>
            </w:r>
          </w:p>
          <w:p w:rsidR="004C1E9A" w:rsidRPr="00EE018B" w:rsidRDefault="004C1E9A" w:rsidP="00FD2AD2">
            <w:pPr>
              <w:pStyle w:val="Default"/>
              <w:snapToGrid w:val="0"/>
              <w:jc w:val="both"/>
              <w:outlineLvl w:val="0"/>
              <w:rPr>
                <w:rFonts w:ascii="Times New Roman" w:eastAsia="仿宋_GB2312" w:cs="Times New Roman"/>
                <w:bCs/>
                <w:color w:val="auto"/>
                <w:kern w:val="2"/>
              </w:rPr>
            </w:pPr>
            <w:r w:rsidRPr="00EE018B">
              <w:rPr>
                <w:rFonts w:eastAsia="仿宋_GB2312" w:hint="eastAsia"/>
              </w:rPr>
              <w:t>即数据符合数据标准、业务规则和元数据等要求的规范程度。</w:t>
            </w: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值域</w:t>
            </w:r>
          </w:p>
          <w:p w:rsidR="004C1E9A" w:rsidRPr="00EE018B" w:rsidRDefault="004C1E9A" w:rsidP="00FD2AD2">
            <w:pPr>
              <w:pStyle w:val="Default"/>
              <w:snapToGrid w:val="0"/>
              <w:jc w:val="center"/>
              <w:outlineLvl w:val="0"/>
              <w:rPr>
                <w:rFonts w:eastAsia="仿宋_GB2312"/>
              </w:rPr>
            </w:pPr>
            <w:r w:rsidRPr="00EE018B">
              <w:rPr>
                <w:rFonts w:eastAsia="仿宋_GB2312" w:hint="eastAsia"/>
              </w:rPr>
              <w:t>合规率</w:t>
            </w:r>
          </w:p>
        </w:tc>
        <w:tc>
          <w:tcPr>
            <w:tcW w:w="6145" w:type="dxa"/>
            <w:vAlign w:val="center"/>
          </w:tcPr>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数据项值域符合标准规范的元素数量与元素总数量之比。值域也可以认为是数据值，数据值就是数据项的内容，即通过进行测量对目标实体的属性所赋予的数值或者类别。</w:t>
            </w:r>
          </w:p>
          <w:p w:rsidR="004C1E9A" w:rsidRPr="00EE018B" w:rsidRDefault="004C1E9A" w:rsidP="00FD2AD2">
            <w:pPr>
              <w:widowControl/>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widowControl/>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数据项值域符合标准规范的元素数量</w:t>
            </w:r>
          </w:p>
          <w:p w:rsidR="004C1E9A" w:rsidRPr="00EE018B" w:rsidRDefault="004C1E9A" w:rsidP="00FD2AD2">
            <w:pPr>
              <w:snapToGrid w:val="0"/>
              <w:rPr>
                <w:rFonts w:eastAsia="仿宋_GB2312"/>
                <w:color w:val="000000"/>
                <w:kern w:val="0"/>
                <w:sz w:val="24"/>
              </w:rPr>
            </w:pPr>
            <m:oMath>
              <m:r>
                <w:rPr>
                  <w:rFonts w:ascii="Cambria Math" w:eastAsia="仿宋_GB2312" w:hAnsi="Cambria Math"/>
                  <w:color w:val="000000"/>
                  <w:kern w:val="0"/>
                  <w:sz w:val="24"/>
                </w:rPr>
                <m:t xml:space="preserve">         B</m:t>
              </m:r>
            </m:oMath>
            <w:r w:rsidRPr="00EE018B">
              <w:rPr>
                <w:rFonts w:eastAsia="仿宋_GB2312"/>
                <w:color w:val="000000"/>
                <w:kern w:val="0"/>
                <w:sz w:val="24"/>
              </w:rPr>
              <w:t>=</w:t>
            </w:r>
            <w:r w:rsidRPr="00EE018B">
              <w:rPr>
                <w:rFonts w:eastAsia="仿宋_GB2312" w:hint="eastAsia"/>
                <w:color w:val="000000"/>
                <w:kern w:val="0"/>
                <w:sz w:val="24"/>
              </w:rPr>
              <w:t>数据项元素总数量</w:t>
            </w:r>
          </w:p>
        </w:tc>
      </w:tr>
      <w:tr w:rsidR="004C1E9A" w:rsidTr="00FD2AD2">
        <w:trPr>
          <w:cantSplit/>
        </w:trPr>
        <w:tc>
          <w:tcPr>
            <w:tcW w:w="1555" w:type="dxa"/>
            <w:vMerge/>
          </w:tcPr>
          <w:p w:rsidR="004C1E9A" w:rsidRPr="00EE018B" w:rsidRDefault="004C1E9A" w:rsidP="00FD2AD2">
            <w:pPr>
              <w:pStyle w:val="Default"/>
              <w:snapToGrid w:val="0"/>
              <w:jc w:val="center"/>
              <w:outlineLvl w:val="0"/>
              <w:rPr>
                <w:rFonts w:ascii="Times New Roman" w:eastAsia="仿宋_GB2312" w:cs="Times New Roman"/>
                <w:bCs/>
                <w:color w:val="auto"/>
                <w:kern w:val="2"/>
              </w:rPr>
            </w:pP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元数据</w:t>
            </w:r>
          </w:p>
          <w:p w:rsidR="004C1E9A" w:rsidRPr="00EE018B" w:rsidRDefault="004C1E9A" w:rsidP="00FD2AD2">
            <w:pPr>
              <w:pStyle w:val="Default"/>
              <w:snapToGrid w:val="0"/>
              <w:jc w:val="center"/>
              <w:outlineLvl w:val="0"/>
              <w:rPr>
                <w:rFonts w:eastAsia="仿宋_GB2312"/>
              </w:rPr>
            </w:pPr>
            <w:r w:rsidRPr="00EE018B">
              <w:rPr>
                <w:rFonts w:eastAsia="仿宋_GB2312" w:hint="eastAsia"/>
              </w:rPr>
              <w:t>合规率</w:t>
            </w:r>
          </w:p>
        </w:tc>
        <w:tc>
          <w:tcPr>
            <w:tcW w:w="6145" w:type="dxa"/>
            <w:vAlign w:val="center"/>
          </w:tcPr>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数据集符合元数据规范的元素数量与元素总数量之比。元数据是指定义和描述其他数据的数据，主要用来指示数据类型、内容概要、存储路径、数据访问权、资源查找、信息记录等，其基本功能是描述数据的内容，便于更准确地识别、存取利用的数据。</w:t>
            </w:r>
          </w:p>
          <w:p w:rsidR="004C1E9A" w:rsidRPr="00EE018B" w:rsidRDefault="004C1E9A" w:rsidP="00FD2AD2">
            <w:pPr>
              <w:widowControl/>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widowControl/>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数据集符合元数据规范的元素数量</w:t>
            </w:r>
          </w:p>
          <w:p w:rsidR="004C1E9A" w:rsidRPr="00EE018B" w:rsidRDefault="004C1E9A" w:rsidP="00FD2AD2">
            <w:pPr>
              <w:snapToGrid w:val="0"/>
              <w:rPr>
                <w:rFonts w:eastAsia="仿宋_GB2312"/>
                <w:color w:val="000000"/>
                <w:kern w:val="0"/>
                <w:sz w:val="24"/>
              </w:rPr>
            </w:pPr>
            <m:oMath>
              <m:r>
                <w:rPr>
                  <w:rFonts w:ascii="Cambria Math" w:eastAsia="仿宋_GB2312" w:hAnsi="Cambria Math"/>
                  <w:color w:val="000000"/>
                  <w:kern w:val="0"/>
                  <w:sz w:val="24"/>
                </w:rPr>
                <m:t xml:space="preserve">         B</m:t>
              </m:r>
            </m:oMath>
            <w:r w:rsidRPr="00EE018B">
              <w:rPr>
                <w:rFonts w:eastAsia="仿宋_GB2312"/>
                <w:color w:val="000000"/>
                <w:kern w:val="0"/>
                <w:sz w:val="24"/>
              </w:rPr>
              <w:t>=</w:t>
            </w:r>
            <w:r w:rsidRPr="00EE018B">
              <w:rPr>
                <w:rFonts w:eastAsia="仿宋_GB2312" w:hint="eastAsia"/>
                <w:color w:val="000000"/>
                <w:kern w:val="0"/>
                <w:sz w:val="24"/>
              </w:rPr>
              <w:t>数据集元素总数量</w:t>
            </w:r>
          </w:p>
        </w:tc>
      </w:tr>
      <w:tr w:rsidR="004C1E9A" w:rsidTr="00FD2AD2">
        <w:trPr>
          <w:cantSplit/>
        </w:trPr>
        <w:tc>
          <w:tcPr>
            <w:tcW w:w="1555" w:type="dxa"/>
            <w:vMerge/>
          </w:tcPr>
          <w:p w:rsidR="004C1E9A" w:rsidRPr="00EE018B" w:rsidRDefault="004C1E9A" w:rsidP="00FD2AD2">
            <w:pPr>
              <w:pStyle w:val="Default"/>
              <w:snapToGrid w:val="0"/>
              <w:jc w:val="center"/>
              <w:outlineLvl w:val="0"/>
              <w:rPr>
                <w:rFonts w:ascii="Times New Roman" w:eastAsia="仿宋_GB2312" w:cs="Times New Roman"/>
                <w:bCs/>
                <w:color w:val="auto"/>
                <w:kern w:val="2"/>
              </w:rPr>
            </w:pP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格式</w:t>
            </w:r>
          </w:p>
          <w:p w:rsidR="004C1E9A" w:rsidRPr="00EE018B" w:rsidRDefault="004C1E9A" w:rsidP="00FD2AD2">
            <w:pPr>
              <w:pStyle w:val="Default"/>
              <w:snapToGrid w:val="0"/>
              <w:jc w:val="center"/>
              <w:outlineLvl w:val="0"/>
              <w:rPr>
                <w:rFonts w:eastAsia="仿宋_GB2312"/>
              </w:rPr>
            </w:pPr>
            <w:r w:rsidRPr="00EE018B">
              <w:rPr>
                <w:rFonts w:eastAsia="仿宋_GB2312" w:hint="eastAsia"/>
              </w:rPr>
              <w:t>合规率</w:t>
            </w:r>
          </w:p>
        </w:tc>
        <w:tc>
          <w:tcPr>
            <w:tcW w:w="6145" w:type="dxa"/>
            <w:vAlign w:val="center"/>
          </w:tcPr>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数据集格式符合标准规范的元素数量与元素总数量之比。</w:t>
            </w:r>
          </w:p>
          <w:p w:rsidR="004C1E9A" w:rsidRPr="00EE018B" w:rsidRDefault="004C1E9A" w:rsidP="00FD2AD2">
            <w:pPr>
              <w:widowControl/>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widowControl/>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数据集格式符合标准规范的元素数量</w:t>
            </w:r>
          </w:p>
          <w:p w:rsidR="004C1E9A" w:rsidRPr="00EE018B" w:rsidRDefault="004C1E9A" w:rsidP="00FD2AD2">
            <w:pPr>
              <w:snapToGrid w:val="0"/>
              <w:rPr>
                <w:rFonts w:eastAsia="仿宋_GB2312"/>
                <w:color w:val="000000"/>
                <w:kern w:val="0"/>
                <w:sz w:val="24"/>
              </w:rPr>
            </w:pPr>
            <m:oMath>
              <m:r>
                <w:rPr>
                  <w:rFonts w:ascii="Cambria Math" w:eastAsia="仿宋_GB2312" w:hAnsi="Cambria Math"/>
                  <w:color w:val="000000"/>
                  <w:kern w:val="0"/>
                  <w:sz w:val="24"/>
                </w:rPr>
                <m:t xml:space="preserve">         B</m:t>
              </m:r>
            </m:oMath>
            <w:r w:rsidRPr="00EE018B">
              <w:rPr>
                <w:rFonts w:eastAsia="仿宋_GB2312"/>
                <w:color w:val="000000"/>
                <w:kern w:val="0"/>
                <w:sz w:val="24"/>
              </w:rPr>
              <w:t>=</w:t>
            </w:r>
            <w:r w:rsidRPr="00EE018B">
              <w:rPr>
                <w:rFonts w:eastAsia="仿宋_GB2312" w:hint="eastAsia"/>
                <w:color w:val="000000"/>
                <w:kern w:val="0"/>
                <w:sz w:val="24"/>
              </w:rPr>
              <w:t>数据集元素总数量</w:t>
            </w:r>
          </w:p>
        </w:tc>
      </w:tr>
      <w:tr w:rsidR="004C1E9A" w:rsidTr="00FD2AD2">
        <w:trPr>
          <w:cantSplit/>
        </w:trPr>
        <w:tc>
          <w:tcPr>
            <w:tcW w:w="1555" w:type="dxa"/>
            <w:vMerge/>
          </w:tcPr>
          <w:p w:rsidR="004C1E9A" w:rsidRPr="00EE018B" w:rsidRDefault="004C1E9A" w:rsidP="00FD2AD2">
            <w:pPr>
              <w:pStyle w:val="Default"/>
              <w:snapToGrid w:val="0"/>
              <w:jc w:val="center"/>
              <w:outlineLvl w:val="0"/>
              <w:rPr>
                <w:rFonts w:ascii="Times New Roman" w:eastAsia="仿宋_GB2312" w:cs="Times New Roman"/>
                <w:bCs/>
                <w:color w:val="auto"/>
                <w:kern w:val="2"/>
              </w:rPr>
            </w:pP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安全</w:t>
            </w:r>
          </w:p>
          <w:p w:rsidR="004C1E9A" w:rsidRPr="00EE018B" w:rsidRDefault="004C1E9A" w:rsidP="00FD2AD2">
            <w:pPr>
              <w:pStyle w:val="Default"/>
              <w:snapToGrid w:val="0"/>
              <w:jc w:val="center"/>
              <w:outlineLvl w:val="0"/>
              <w:rPr>
                <w:rFonts w:eastAsia="仿宋_GB2312"/>
              </w:rPr>
            </w:pPr>
            <w:r w:rsidRPr="00EE018B">
              <w:rPr>
                <w:rFonts w:eastAsia="仿宋_GB2312" w:hint="eastAsia"/>
              </w:rPr>
              <w:t>合规率</w:t>
            </w:r>
          </w:p>
        </w:tc>
        <w:tc>
          <w:tcPr>
            <w:tcW w:w="6145" w:type="dxa"/>
            <w:vAlign w:val="center"/>
          </w:tcPr>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数据集符合适用法律法规和行业安全规范的元素数量与元素总数量之比。</w:t>
            </w:r>
          </w:p>
          <w:p w:rsidR="004C1E9A" w:rsidRPr="00EE018B" w:rsidRDefault="004C1E9A" w:rsidP="00FD2AD2">
            <w:pPr>
              <w:widowControl/>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widowControl/>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数据集符合适用法律法规和行业安全规范的元素数量</w:t>
            </w:r>
          </w:p>
          <w:p w:rsidR="004C1E9A" w:rsidRPr="00EE018B" w:rsidRDefault="004C1E9A" w:rsidP="00FD2AD2">
            <w:pPr>
              <w:snapToGrid w:val="0"/>
              <w:rPr>
                <w:rFonts w:eastAsia="仿宋_GB2312"/>
                <w:color w:val="000000"/>
                <w:kern w:val="0"/>
                <w:sz w:val="24"/>
              </w:rPr>
            </w:pPr>
            <m:oMath>
              <m:r>
                <w:rPr>
                  <w:rFonts w:ascii="Cambria Math" w:eastAsia="仿宋_GB2312" w:hAnsi="Cambria Math"/>
                  <w:color w:val="000000"/>
                  <w:kern w:val="0"/>
                  <w:sz w:val="24"/>
                </w:rPr>
                <m:t xml:space="preserve">         B</m:t>
              </m:r>
            </m:oMath>
            <w:r w:rsidRPr="00EE018B">
              <w:rPr>
                <w:rFonts w:eastAsia="仿宋_GB2312"/>
                <w:color w:val="000000"/>
                <w:kern w:val="0"/>
                <w:sz w:val="24"/>
              </w:rPr>
              <w:t>=</w:t>
            </w:r>
            <w:r w:rsidRPr="00EE018B">
              <w:rPr>
                <w:rFonts w:eastAsia="仿宋_GB2312" w:hint="eastAsia"/>
                <w:color w:val="000000"/>
                <w:kern w:val="0"/>
                <w:sz w:val="24"/>
              </w:rPr>
              <w:t>数据集元素总数量</w:t>
            </w:r>
          </w:p>
        </w:tc>
      </w:tr>
      <w:tr w:rsidR="004C1E9A" w:rsidTr="00FD2AD2">
        <w:trPr>
          <w:cantSplit/>
        </w:trPr>
        <w:tc>
          <w:tcPr>
            <w:tcW w:w="1555" w:type="dxa"/>
            <w:vMerge w:val="restart"/>
            <w:vAlign w:val="center"/>
          </w:tcPr>
          <w:p w:rsidR="004C1E9A" w:rsidRPr="00EE018B" w:rsidRDefault="004C1E9A" w:rsidP="00FD2AD2">
            <w:pPr>
              <w:widowControl/>
              <w:snapToGrid w:val="0"/>
              <w:rPr>
                <w:rFonts w:eastAsia="仿宋_GB2312"/>
                <w:b/>
                <w:bCs/>
                <w:color w:val="000000"/>
                <w:kern w:val="0"/>
                <w:sz w:val="24"/>
              </w:rPr>
            </w:pPr>
            <w:r w:rsidRPr="00EE018B">
              <w:rPr>
                <w:rFonts w:eastAsia="仿宋_GB2312" w:hint="eastAsia"/>
                <w:b/>
                <w:bCs/>
                <w:color w:val="000000"/>
                <w:kern w:val="0"/>
                <w:sz w:val="24"/>
              </w:rPr>
              <w:t>时效性：</w:t>
            </w:r>
          </w:p>
          <w:p w:rsidR="004C1E9A" w:rsidRPr="00EE018B" w:rsidRDefault="004C1E9A" w:rsidP="00FD2AD2">
            <w:pPr>
              <w:pStyle w:val="Default"/>
              <w:snapToGrid w:val="0"/>
              <w:jc w:val="both"/>
              <w:outlineLvl w:val="0"/>
              <w:rPr>
                <w:rFonts w:ascii="Times New Roman" w:eastAsia="仿宋_GB2312" w:cs="Times New Roman"/>
                <w:bCs/>
                <w:color w:val="auto"/>
                <w:kern w:val="2"/>
              </w:rPr>
            </w:pPr>
            <w:r w:rsidRPr="00EE018B">
              <w:rPr>
                <w:rFonts w:eastAsia="仿宋_GB2312" w:hint="eastAsia"/>
              </w:rPr>
              <w:t>即数据真实反映事物和事件的及时程度。</w:t>
            </w: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周期</w:t>
            </w:r>
          </w:p>
          <w:p w:rsidR="004C1E9A" w:rsidRPr="00EE018B" w:rsidRDefault="004C1E9A" w:rsidP="00FD2AD2">
            <w:pPr>
              <w:pStyle w:val="Default"/>
              <w:snapToGrid w:val="0"/>
              <w:jc w:val="center"/>
              <w:outlineLvl w:val="0"/>
              <w:rPr>
                <w:rFonts w:eastAsia="仿宋_GB2312"/>
              </w:rPr>
            </w:pPr>
            <w:r w:rsidRPr="00EE018B">
              <w:rPr>
                <w:rFonts w:eastAsia="仿宋_GB2312" w:hint="eastAsia"/>
              </w:rPr>
              <w:t>及时性</w:t>
            </w:r>
          </w:p>
        </w:tc>
        <w:tc>
          <w:tcPr>
            <w:tcW w:w="6145" w:type="dxa"/>
            <w:vAlign w:val="center"/>
          </w:tcPr>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数据集赋值满足业务周期频率要求的元素数量与元素总数量之比。</w:t>
            </w:r>
          </w:p>
          <w:p w:rsidR="004C1E9A" w:rsidRPr="00EE018B" w:rsidRDefault="004C1E9A" w:rsidP="00FD2AD2">
            <w:pPr>
              <w:widowControl/>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widowControl/>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数据集赋值满足业务周期频率要求的元素数量</w:t>
            </w:r>
          </w:p>
          <w:p w:rsidR="004C1E9A" w:rsidRPr="00EE018B" w:rsidRDefault="004C1E9A" w:rsidP="00FD2AD2">
            <w:pPr>
              <w:snapToGrid w:val="0"/>
              <w:rPr>
                <w:rFonts w:eastAsia="仿宋_GB2312"/>
                <w:color w:val="000000"/>
                <w:kern w:val="0"/>
                <w:sz w:val="24"/>
              </w:rPr>
            </w:pPr>
            <m:oMath>
              <m:r>
                <w:rPr>
                  <w:rFonts w:ascii="Cambria Math" w:eastAsia="仿宋_GB2312" w:hAnsi="Cambria Math"/>
                  <w:color w:val="000000"/>
                  <w:kern w:val="0"/>
                  <w:sz w:val="24"/>
                </w:rPr>
                <m:t xml:space="preserve">         B</m:t>
              </m:r>
            </m:oMath>
            <w:r w:rsidRPr="00EE018B">
              <w:rPr>
                <w:rFonts w:eastAsia="仿宋_GB2312"/>
                <w:color w:val="000000"/>
                <w:kern w:val="0"/>
                <w:sz w:val="24"/>
              </w:rPr>
              <w:t>=</w:t>
            </w:r>
            <w:r w:rsidRPr="00EE018B">
              <w:rPr>
                <w:rFonts w:eastAsia="仿宋_GB2312" w:hint="eastAsia"/>
                <w:color w:val="000000"/>
                <w:kern w:val="0"/>
                <w:sz w:val="24"/>
              </w:rPr>
              <w:t>数据集元素总数量</w:t>
            </w:r>
          </w:p>
        </w:tc>
      </w:tr>
      <w:tr w:rsidR="004C1E9A" w:rsidTr="00FD2AD2">
        <w:trPr>
          <w:cantSplit/>
        </w:trPr>
        <w:tc>
          <w:tcPr>
            <w:tcW w:w="1555" w:type="dxa"/>
            <w:vMerge/>
          </w:tcPr>
          <w:p w:rsidR="004C1E9A" w:rsidRPr="00EE018B" w:rsidRDefault="004C1E9A" w:rsidP="00FD2AD2">
            <w:pPr>
              <w:pStyle w:val="Default"/>
              <w:snapToGrid w:val="0"/>
              <w:jc w:val="center"/>
              <w:outlineLvl w:val="0"/>
              <w:rPr>
                <w:rFonts w:ascii="Times New Roman" w:eastAsia="仿宋_GB2312" w:cs="Times New Roman"/>
                <w:bCs/>
                <w:color w:val="auto"/>
                <w:kern w:val="2"/>
              </w:rPr>
            </w:pP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实时</w:t>
            </w:r>
          </w:p>
          <w:p w:rsidR="004C1E9A" w:rsidRPr="00EE018B" w:rsidRDefault="004C1E9A" w:rsidP="00FD2AD2">
            <w:pPr>
              <w:pStyle w:val="Default"/>
              <w:snapToGrid w:val="0"/>
              <w:jc w:val="center"/>
              <w:outlineLvl w:val="0"/>
              <w:rPr>
                <w:rFonts w:eastAsia="仿宋_GB2312"/>
              </w:rPr>
            </w:pPr>
            <w:r w:rsidRPr="00EE018B">
              <w:rPr>
                <w:rFonts w:eastAsia="仿宋_GB2312" w:hint="eastAsia"/>
              </w:rPr>
              <w:t>及时性</w:t>
            </w:r>
          </w:p>
        </w:tc>
        <w:tc>
          <w:tcPr>
            <w:tcW w:w="6145" w:type="dxa"/>
            <w:vAlign w:val="center"/>
          </w:tcPr>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数据集赋值延迟时间满足业务要求的元素数量与元素总数量之比。</w:t>
            </w:r>
          </w:p>
          <w:p w:rsidR="004C1E9A" w:rsidRPr="00EE018B" w:rsidRDefault="004C1E9A" w:rsidP="00FD2AD2">
            <w:pPr>
              <w:widowControl/>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widowControl/>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数据集赋值延迟时间满足业务要求的元素数量</w:t>
            </w:r>
          </w:p>
          <w:p w:rsidR="004C1E9A" w:rsidRPr="00EE018B" w:rsidRDefault="004C1E9A" w:rsidP="00FD2AD2">
            <w:pPr>
              <w:snapToGrid w:val="0"/>
              <w:rPr>
                <w:rFonts w:eastAsia="仿宋_GB2312"/>
                <w:color w:val="000000"/>
                <w:kern w:val="0"/>
                <w:sz w:val="24"/>
              </w:rPr>
            </w:pPr>
            <m:oMath>
              <m:r>
                <w:rPr>
                  <w:rFonts w:ascii="Cambria Math" w:eastAsia="仿宋_GB2312" w:hAnsi="Cambria Math"/>
                  <w:color w:val="000000"/>
                  <w:kern w:val="0"/>
                  <w:sz w:val="24"/>
                </w:rPr>
                <m:t xml:space="preserve">         B</m:t>
              </m:r>
            </m:oMath>
            <w:r w:rsidRPr="00EE018B">
              <w:rPr>
                <w:rFonts w:eastAsia="仿宋_GB2312"/>
                <w:color w:val="000000"/>
                <w:kern w:val="0"/>
                <w:sz w:val="24"/>
              </w:rPr>
              <w:t>=</w:t>
            </w:r>
            <w:r w:rsidRPr="00EE018B">
              <w:rPr>
                <w:rFonts w:eastAsia="仿宋_GB2312" w:hint="eastAsia"/>
                <w:color w:val="000000"/>
                <w:kern w:val="0"/>
                <w:sz w:val="24"/>
              </w:rPr>
              <w:t>数据集元素总数量</w:t>
            </w:r>
          </w:p>
        </w:tc>
      </w:tr>
      <w:tr w:rsidR="004C1E9A" w:rsidTr="00FD2AD2">
        <w:trPr>
          <w:cantSplit/>
        </w:trPr>
        <w:tc>
          <w:tcPr>
            <w:tcW w:w="1555" w:type="dxa"/>
            <w:vAlign w:val="center"/>
          </w:tcPr>
          <w:p w:rsidR="004C1E9A" w:rsidRPr="00EE018B" w:rsidRDefault="004C1E9A" w:rsidP="00FD2AD2">
            <w:pPr>
              <w:widowControl/>
              <w:snapToGrid w:val="0"/>
              <w:rPr>
                <w:rFonts w:eastAsia="仿宋_GB2312"/>
                <w:b/>
                <w:bCs/>
                <w:color w:val="000000"/>
                <w:kern w:val="0"/>
                <w:sz w:val="24"/>
              </w:rPr>
            </w:pPr>
            <w:r w:rsidRPr="00EE018B">
              <w:rPr>
                <w:rFonts w:eastAsia="仿宋_GB2312" w:hint="eastAsia"/>
                <w:b/>
                <w:bCs/>
                <w:color w:val="000000"/>
                <w:kern w:val="0"/>
                <w:sz w:val="24"/>
              </w:rPr>
              <w:t>可访问性：</w:t>
            </w:r>
          </w:p>
          <w:p w:rsidR="004C1E9A" w:rsidRPr="00EE018B" w:rsidRDefault="004C1E9A" w:rsidP="00FD2AD2">
            <w:pPr>
              <w:pStyle w:val="Default"/>
              <w:snapToGrid w:val="0"/>
              <w:jc w:val="both"/>
              <w:outlineLvl w:val="0"/>
              <w:rPr>
                <w:rFonts w:ascii="Times New Roman" w:eastAsia="仿宋_GB2312" w:cs="Times New Roman"/>
                <w:bCs/>
                <w:color w:val="auto"/>
                <w:kern w:val="2"/>
              </w:rPr>
            </w:pPr>
            <w:r w:rsidRPr="00EE018B">
              <w:rPr>
                <w:rFonts w:eastAsia="仿宋_GB2312" w:hint="eastAsia"/>
              </w:rPr>
              <w:t>即数据能被正常访问的程度。</w:t>
            </w:r>
          </w:p>
        </w:tc>
        <w:tc>
          <w:tcPr>
            <w:tcW w:w="1134" w:type="dxa"/>
            <w:vAlign w:val="center"/>
          </w:tcPr>
          <w:p w:rsidR="004C1E9A" w:rsidRPr="00EE018B" w:rsidRDefault="004C1E9A" w:rsidP="00FD2AD2">
            <w:pPr>
              <w:pStyle w:val="Default"/>
              <w:snapToGrid w:val="0"/>
              <w:jc w:val="center"/>
              <w:outlineLvl w:val="0"/>
              <w:rPr>
                <w:rFonts w:eastAsia="仿宋_GB2312"/>
              </w:rPr>
            </w:pPr>
            <w:r w:rsidRPr="00EE018B">
              <w:rPr>
                <w:rFonts w:eastAsia="仿宋_GB2312" w:hint="eastAsia"/>
              </w:rPr>
              <w:t>可访问度</w:t>
            </w:r>
          </w:p>
        </w:tc>
        <w:tc>
          <w:tcPr>
            <w:tcW w:w="6145" w:type="dxa"/>
            <w:vAlign w:val="center"/>
          </w:tcPr>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数据集请求访问成功的元素数量与请求访问元素总数量之比。</w:t>
            </w:r>
          </w:p>
          <w:p w:rsidR="004C1E9A" w:rsidRPr="00EE018B" w:rsidRDefault="004C1E9A" w:rsidP="00FD2AD2">
            <w:pPr>
              <w:widowControl/>
              <w:snapToGrid w:val="0"/>
              <w:ind w:leftChars="200" w:left="420"/>
              <w:rPr>
                <w:rFonts w:eastAsia="仿宋_GB2312"/>
                <w:color w:val="000000"/>
                <w:kern w:val="0"/>
                <w:sz w:val="24"/>
              </w:rPr>
            </w:pPr>
            <m:oMathPara>
              <m:oMathParaPr>
                <m:jc m:val="left"/>
              </m:oMathParaPr>
              <m:oMath>
                <m:r>
                  <w:rPr>
                    <w:rFonts w:ascii="Cambria Math" w:eastAsia="仿宋_GB2312" w:hAnsi="Cambria Math"/>
                    <w:color w:val="000000"/>
                    <w:kern w:val="0"/>
                    <w:sz w:val="24"/>
                  </w:rPr>
                  <m:t>X=A/B</m:t>
                </m:r>
              </m:oMath>
            </m:oMathPara>
          </w:p>
          <w:p w:rsidR="004C1E9A" w:rsidRPr="00EE018B" w:rsidRDefault="004C1E9A" w:rsidP="00FD2AD2">
            <w:pPr>
              <w:widowControl/>
              <w:snapToGrid w:val="0"/>
              <w:rPr>
                <w:rFonts w:eastAsia="仿宋_GB2312"/>
                <w:color w:val="000000"/>
                <w:kern w:val="0"/>
                <w:sz w:val="24"/>
              </w:rPr>
            </w:pPr>
            <w:r w:rsidRPr="00EE018B">
              <w:rPr>
                <w:rFonts w:eastAsia="仿宋_GB2312" w:hint="eastAsia"/>
                <w:color w:val="000000"/>
                <w:kern w:val="0"/>
                <w:sz w:val="24"/>
              </w:rPr>
              <w:t>式中：</w:t>
            </w:r>
          </w:p>
          <w:p w:rsidR="004C1E9A" w:rsidRPr="00EE018B" w:rsidRDefault="004C1E9A" w:rsidP="00FD2AD2">
            <w:pPr>
              <w:widowControl/>
              <w:snapToGrid w:val="0"/>
              <w:ind w:firstLineChars="200" w:firstLine="480"/>
              <w:rPr>
                <w:rFonts w:eastAsia="仿宋_GB2312"/>
                <w:color w:val="000000"/>
                <w:kern w:val="0"/>
                <w:sz w:val="24"/>
              </w:rPr>
            </w:pPr>
            <m:oMath>
              <m:r>
                <w:rPr>
                  <w:rFonts w:ascii="Cambria Math" w:eastAsia="仿宋_GB2312" w:hAnsi="Cambria Math"/>
                  <w:color w:val="000000"/>
                  <w:kern w:val="0"/>
                  <w:sz w:val="24"/>
                </w:rPr>
                <m:t>A</m:t>
              </m:r>
            </m:oMath>
            <w:r w:rsidRPr="00EE018B">
              <w:rPr>
                <w:rFonts w:eastAsia="仿宋_GB2312"/>
                <w:color w:val="000000"/>
                <w:kern w:val="0"/>
                <w:sz w:val="24"/>
              </w:rPr>
              <w:t>=</w:t>
            </w:r>
            <w:r w:rsidRPr="00EE018B">
              <w:rPr>
                <w:rFonts w:eastAsia="仿宋_GB2312" w:hint="eastAsia"/>
                <w:color w:val="000000"/>
                <w:kern w:val="0"/>
                <w:sz w:val="24"/>
              </w:rPr>
              <w:t>数据集请求访问成功的元素数量</w:t>
            </w:r>
          </w:p>
          <w:p w:rsidR="004C1E9A" w:rsidRPr="00EE018B" w:rsidRDefault="004C1E9A" w:rsidP="00FD2AD2">
            <w:pPr>
              <w:snapToGrid w:val="0"/>
              <w:ind w:firstLineChars="200" w:firstLine="480"/>
              <w:rPr>
                <w:rFonts w:eastAsia="仿宋_GB2312"/>
                <w:color w:val="000000"/>
                <w:kern w:val="0"/>
                <w:sz w:val="24"/>
              </w:rPr>
            </w:pPr>
            <m:oMath>
              <m:r>
                <w:rPr>
                  <w:rFonts w:ascii="Cambria Math" w:eastAsia="仿宋_GB2312" w:hAnsi="Cambria Math"/>
                  <w:color w:val="000000"/>
                  <w:kern w:val="0"/>
                  <w:sz w:val="24"/>
                </w:rPr>
                <m:t>B</m:t>
              </m:r>
            </m:oMath>
            <w:r w:rsidRPr="00EE018B">
              <w:rPr>
                <w:rFonts w:eastAsia="仿宋_GB2312"/>
                <w:color w:val="000000"/>
                <w:kern w:val="0"/>
                <w:sz w:val="24"/>
              </w:rPr>
              <w:t>=</w:t>
            </w:r>
            <w:r w:rsidRPr="00EE018B">
              <w:rPr>
                <w:rFonts w:eastAsia="仿宋_GB2312" w:hint="eastAsia"/>
                <w:color w:val="000000"/>
                <w:kern w:val="0"/>
                <w:sz w:val="24"/>
              </w:rPr>
              <w:t>数据集请求访问元素总数量</w:t>
            </w:r>
          </w:p>
        </w:tc>
      </w:tr>
    </w:tbl>
    <w:p w:rsidR="004C1E9A" w:rsidRDefault="004C1E9A" w:rsidP="004C1E9A">
      <w:pPr>
        <w:pStyle w:val="a0"/>
        <w:spacing w:line="578" w:lineRule="exact"/>
        <w:ind w:firstLineChars="0" w:firstLine="0"/>
        <w:rPr>
          <w:rFonts w:eastAsia="仿宋_GB2312"/>
          <w:sz w:val="32"/>
          <w:szCs w:val="32"/>
        </w:rPr>
      </w:pPr>
    </w:p>
    <w:p w:rsidR="004C1E9A" w:rsidRDefault="004C1E9A" w:rsidP="004C1E9A">
      <w:pPr>
        <w:pStyle w:val="a0"/>
      </w:pPr>
      <w:r>
        <w:br w:type="page"/>
      </w:r>
    </w:p>
    <w:p w:rsidR="004C1E9A" w:rsidRDefault="004C1E9A" w:rsidP="004C1E9A">
      <w:pPr>
        <w:pStyle w:val="a0"/>
        <w:spacing w:line="578" w:lineRule="exact"/>
        <w:ind w:firstLineChars="0" w:firstLine="0"/>
        <w:rPr>
          <w:rFonts w:ascii="黑体" w:eastAsia="黑体" w:hAnsi="黑体"/>
          <w:sz w:val="32"/>
          <w:szCs w:val="32"/>
        </w:rPr>
      </w:pPr>
      <w:r>
        <w:rPr>
          <w:rFonts w:ascii="黑体" w:eastAsia="黑体" w:hAnsi="黑体" w:hint="eastAsia"/>
          <w:sz w:val="32"/>
          <w:szCs w:val="32"/>
        </w:rPr>
        <w:lastRenderedPageBreak/>
        <w:t>附3</w:t>
      </w:r>
    </w:p>
    <w:p w:rsidR="004C1E9A" w:rsidRDefault="004C1E9A" w:rsidP="00F6052E">
      <w:pPr>
        <w:pStyle w:val="Default"/>
        <w:spacing w:beforeLines="50" w:line="578" w:lineRule="exact"/>
        <w:jc w:val="center"/>
        <w:outlineLvl w:val="0"/>
        <w:rPr>
          <w:rFonts w:ascii="Times New Roman" w:eastAsia="方正小标宋简体" w:cs="Times New Roman"/>
          <w:sz w:val="44"/>
          <w:szCs w:val="44"/>
        </w:rPr>
      </w:pPr>
      <w:r>
        <w:rPr>
          <w:rFonts w:ascii="Times New Roman" w:eastAsia="方正小标宋简体" w:cs="Times New Roman" w:hint="eastAsia"/>
          <w:sz w:val="44"/>
          <w:szCs w:val="44"/>
        </w:rPr>
        <w:t>评估方法相关模型示例</w:t>
      </w:r>
    </w:p>
    <w:p w:rsidR="004C1E9A" w:rsidRDefault="004C1E9A" w:rsidP="00F6052E">
      <w:pPr>
        <w:pStyle w:val="Default"/>
        <w:spacing w:afterLines="50" w:line="578" w:lineRule="exact"/>
        <w:jc w:val="center"/>
        <w:outlineLvl w:val="0"/>
        <w:rPr>
          <w:rFonts w:ascii="Times New Roman" w:eastAsia="仿宋_GB2312" w:cs="Times New Roman"/>
          <w:bCs/>
          <w:color w:val="auto"/>
          <w:kern w:val="2"/>
          <w:sz w:val="32"/>
          <w:szCs w:val="32"/>
        </w:rPr>
      </w:pPr>
      <w:r>
        <w:rPr>
          <w:rFonts w:ascii="Times New Roman" w:eastAsia="仿宋_GB2312" w:cs="Times New Roman" w:hint="eastAsia"/>
          <w:bCs/>
          <w:color w:val="auto"/>
          <w:kern w:val="2"/>
          <w:sz w:val="32"/>
          <w:szCs w:val="32"/>
        </w:rPr>
        <w:t>（供参考）</w:t>
      </w:r>
    </w:p>
    <w:p w:rsidR="004C1E9A" w:rsidRDefault="004C1E9A" w:rsidP="004C1E9A">
      <w:pPr>
        <w:snapToGrid w:val="0"/>
        <w:spacing w:line="578" w:lineRule="exact"/>
        <w:ind w:firstLineChars="200" w:firstLine="640"/>
        <w:rPr>
          <w:rFonts w:eastAsia="黑体"/>
          <w:sz w:val="32"/>
          <w:szCs w:val="32"/>
        </w:rPr>
      </w:pPr>
      <w:r>
        <w:rPr>
          <w:rFonts w:eastAsia="黑体" w:hint="eastAsia"/>
          <w:sz w:val="32"/>
          <w:szCs w:val="32"/>
        </w:rPr>
        <w:t>一、收益法相关模型示例</w:t>
      </w:r>
    </w:p>
    <w:p w:rsidR="004C1E9A" w:rsidRDefault="004C1E9A" w:rsidP="004C1E9A">
      <w:pPr>
        <w:snapToGrid w:val="0"/>
        <w:spacing w:line="578" w:lineRule="exact"/>
        <w:ind w:firstLineChars="200" w:firstLine="640"/>
        <w:rPr>
          <w:rFonts w:eastAsia="楷体_GB2312"/>
          <w:bCs/>
          <w:sz w:val="32"/>
          <w:szCs w:val="32"/>
        </w:rPr>
      </w:pPr>
      <w:r>
        <w:rPr>
          <w:rFonts w:eastAsia="楷体_GB2312" w:hint="eastAsia"/>
          <w:bCs/>
          <w:sz w:val="32"/>
          <w:szCs w:val="32"/>
        </w:rPr>
        <w:t>（一）直接收益预测</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cs="微软雅黑" w:hint="eastAsia"/>
          <w:bCs/>
          <w:color w:val="000000"/>
          <w:kern w:val="0"/>
          <w:sz w:val="32"/>
          <w:szCs w:val="32"/>
        </w:rPr>
        <w:t>1.技术思路</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cs="微软雅黑" w:hint="eastAsia"/>
          <w:bCs/>
          <w:color w:val="000000"/>
          <w:kern w:val="0"/>
          <w:sz w:val="32"/>
          <w:szCs w:val="32"/>
        </w:rPr>
        <w:t>直接收益预测是对利用被评估数据资产直接获取的收益进行预测的方式。</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cs="微软雅黑" w:hint="eastAsia"/>
          <w:bCs/>
          <w:color w:val="000000"/>
          <w:kern w:val="0"/>
          <w:sz w:val="32"/>
          <w:szCs w:val="32"/>
        </w:rPr>
        <w:t>2.参考公式</w:t>
      </w:r>
    </w:p>
    <w:p w:rsidR="004C1E9A" w:rsidRDefault="000568EF" w:rsidP="004C1E9A">
      <w:pPr>
        <w:snapToGrid w:val="0"/>
        <w:spacing w:line="578" w:lineRule="exact"/>
        <w:ind w:firstLineChars="200" w:firstLine="640"/>
        <w:rPr>
          <w:rFonts w:ascii="仿宋_GB2312" w:eastAsia="仿宋_GB2312"/>
          <w:bCs/>
          <w:sz w:val="32"/>
          <w:szCs w:val="32"/>
        </w:rPr>
      </w:pPr>
      <m:oMathPara>
        <m:oMath>
          <m:sSub>
            <m:sSubPr>
              <m:ctrlPr>
                <w:rPr>
                  <w:rFonts w:ascii="Cambria Math" w:eastAsia="仿宋_GB2312" w:hAnsi="Cambria Math" w:hint="eastAsia"/>
                  <w:bCs/>
                  <w:sz w:val="32"/>
                  <w:szCs w:val="32"/>
                </w:rPr>
              </m:ctrlPr>
            </m:sSubPr>
            <m:e>
              <m:r>
                <w:rPr>
                  <w:rFonts w:ascii="Cambria Math" w:eastAsia="仿宋_GB2312" w:hAnsi="Cambria Math"/>
                  <w:sz w:val="32"/>
                  <w:szCs w:val="32"/>
                </w:rPr>
                <m:t>F</m:t>
              </m:r>
            </m:e>
            <m:sub>
              <m:r>
                <w:rPr>
                  <w:rFonts w:ascii="Cambria Math" w:eastAsia="仿宋_GB2312" w:hAnsi="Cambria Math"/>
                  <w:sz w:val="32"/>
                  <w:szCs w:val="32"/>
                </w:rPr>
                <m:t>t</m:t>
              </m:r>
            </m:sub>
          </m:sSub>
          <m:r>
            <m:rPr>
              <m:sty m:val="p"/>
            </m:rPr>
            <w:rPr>
              <w:rFonts w:ascii="Cambria Math" w:eastAsia="仿宋_GB2312" w:hAnsi="Cambria Math"/>
              <w:sz w:val="32"/>
              <w:szCs w:val="32"/>
            </w:rPr>
            <m:t>=</m:t>
          </m:r>
          <m:sSub>
            <m:sSubPr>
              <m:ctrlPr>
                <w:rPr>
                  <w:rFonts w:ascii="Cambria Math" w:eastAsia="仿宋_GB2312" w:hAnsi="Cambria Math" w:hint="eastAsia"/>
                  <w:bCs/>
                  <w:sz w:val="32"/>
                  <w:szCs w:val="32"/>
                </w:rPr>
              </m:ctrlPr>
            </m:sSubPr>
            <m:e>
              <m:r>
                <w:rPr>
                  <w:rFonts w:ascii="Cambria Math" w:eastAsia="仿宋_GB2312" w:hAnsi="Cambria Math" w:cs="微软雅黑"/>
                  <w:color w:val="000000"/>
                  <w:kern w:val="0"/>
                  <w:sz w:val="32"/>
                  <w:szCs w:val="32"/>
                </w:rPr>
                <m:t>R</m:t>
              </m:r>
            </m:e>
            <m:sub>
              <m:r>
                <w:rPr>
                  <w:rFonts w:ascii="Cambria Math" w:eastAsia="仿宋_GB2312" w:hAnsi="Cambria Math" w:cs="微软雅黑"/>
                  <w:color w:val="000000"/>
                  <w:kern w:val="0"/>
                  <w:sz w:val="32"/>
                  <w:szCs w:val="32"/>
                </w:rPr>
                <m:t>t</m:t>
              </m:r>
            </m:sub>
          </m:sSub>
        </m:oMath>
      </m:oMathPara>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cs="微软雅黑" w:hint="eastAsia"/>
          <w:bCs/>
          <w:color w:val="000000"/>
          <w:kern w:val="0"/>
          <w:sz w:val="32"/>
          <w:szCs w:val="32"/>
        </w:rPr>
        <w:t>式中：</w:t>
      </w:r>
    </w:p>
    <w:p w:rsidR="004C1E9A" w:rsidRDefault="000568EF" w:rsidP="004C1E9A">
      <w:pPr>
        <w:snapToGrid w:val="0"/>
        <w:spacing w:line="578" w:lineRule="exact"/>
        <w:ind w:firstLineChars="200" w:firstLine="640"/>
        <w:rPr>
          <w:rFonts w:ascii="仿宋_GB2312" w:eastAsia="仿宋_GB2312"/>
          <w:bCs/>
          <w:sz w:val="32"/>
          <w:szCs w:val="32"/>
        </w:rPr>
      </w:pPr>
      <m:oMath>
        <m:sSub>
          <m:sSubPr>
            <m:ctrlPr>
              <w:rPr>
                <w:rFonts w:ascii="Cambria Math" w:eastAsia="仿宋_GB2312" w:hAnsi="Cambria Math" w:hint="eastAsia"/>
                <w:bCs/>
                <w:sz w:val="32"/>
                <w:szCs w:val="32"/>
              </w:rPr>
            </m:ctrlPr>
          </m:sSubPr>
          <m:e>
            <m:r>
              <w:rPr>
                <w:rFonts w:ascii="Cambria Math" w:eastAsia="仿宋_GB2312" w:hAnsi="Cambria Math" w:hint="eastAsia"/>
                <w:sz w:val="32"/>
                <w:szCs w:val="32"/>
              </w:rPr>
              <m:t>F</m:t>
            </m:r>
          </m:e>
          <m:sub>
            <m:r>
              <w:rPr>
                <w:rFonts w:ascii="Cambria Math" w:eastAsia="仿宋_GB2312" w:hAnsi="Cambria Math" w:hint="eastAsia"/>
                <w:sz w:val="32"/>
                <w:szCs w:val="32"/>
              </w:rPr>
              <m:t>t</m:t>
            </m:r>
          </m:sub>
        </m:sSub>
      </m:oMath>
      <w:r w:rsidR="004C1E9A" w:rsidRPr="00287284">
        <w:rPr>
          <w:rFonts w:ascii="华文中宋" w:eastAsia="华文中宋" w:hAnsi="华文中宋" w:hint="eastAsia"/>
          <w:bCs/>
          <w:color w:val="000000"/>
          <w:kern w:val="0"/>
          <w:sz w:val="32"/>
          <w:szCs w:val="32"/>
        </w:rPr>
        <w:t>——</w:t>
      </w:r>
      <w:r w:rsidR="004C1E9A">
        <w:rPr>
          <w:rFonts w:ascii="仿宋_GB2312" w:eastAsia="仿宋_GB2312" w:cs="微软雅黑" w:hint="eastAsia"/>
          <w:bCs/>
          <w:color w:val="000000"/>
          <w:kern w:val="0"/>
          <w:sz w:val="32"/>
          <w:szCs w:val="32"/>
        </w:rPr>
        <w:t>预测第</w:t>
      </w:r>
      <m:oMath>
        <m:r>
          <w:rPr>
            <w:rFonts w:ascii="Cambria Math" w:eastAsia="仿宋_GB2312" w:hAnsi="Cambria Math"/>
            <w:sz w:val="32"/>
            <w:szCs w:val="32"/>
          </w:rPr>
          <m:t xml:space="preserve">t </m:t>
        </m:r>
      </m:oMath>
      <w:r w:rsidR="004C1E9A">
        <w:rPr>
          <w:rFonts w:ascii="仿宋_GB2312" w:eastAsia="仿宋_GB2312" w:cs="微软雅黑" w:hint="eastAsia"/>
          <w:bCs/>
          <w:color w:val="000000"/>
          <w:kern w:val="0"/>
          <w:sz w:val="32"/>
          <w:szCs w:val="32"/>
        </w:rPr>
        <w:t>期数据资产的收益额；</w:t>
      </w:r>
    </w:p>
    <w:p w:rsidR="004C1E9A" w:rsidRDefault="000568EF" w:rsidP="004C1E9A">
      <w:pPr>
        <w:snapToGrid w:val="0"/>
        <w:spacing w:line="578" w:lineRule="exact"/>
        <w:ind w:firstLineChars="200" w:firstLine="640"/>
        <w:rPr>
          <w:rFonts w:ascii="仿宋_GB2312" w:eastAsia="仿宋_GB2312"/>
          <w:bCs/>
          <w:sz w:val="32"/>
          <w:szCs w:val="32"/>
        </w:rPr>
      </w:pPr>
      <m:oMath>
        <m:sSub>
          <m:sSubPr>
            <m:ctrlPr>
              <w:rPr>
                <w:rFonts w:ascii="Cambria Math" w:eastAsia="仿宋_GB2312" w:hAnsi="Cambria Math" w:hint="eastAsia"/>
                <w:bCs/>
                <w:sz w:val="32"/>
                <w:szCs w:val="32"/>
              </w:rPr>
            </m:ctrlPr>
          </m:sSubPr>
          <m:e>
            <m:r>
              <w:rPr>
                <w:rFonts w:ascii="Cambria Math" w:eastAsia="仿宋_GB2312" w:hAnsi="Cambria Math" w:hint="eastAsia"/>
                <w:sz w:val="32"/>
                <w:szCs w:val="32"/>
              </w:rPr>
              <m:t>R</m:t>
            </m:r>
          </m:e>
          <m:sub>
            <m:r>
              <w:rPr>
                <w:rFonts w:ascii="Cambria Math" w:eastAsia="仿宋_GB2312" w:hAnsi="Cambria Math" w:hint="eastAsia"/>
                <w:sz w:val="32"/>
                <w:szCs w:val="32"/>
              </w:rPr>
              <m:t>t</m:t>
            </m:r>
          </m:sub>
        </m:sSub>
      </m:oMath>
      <w:r w:rsidR="004C1E9A" w:rsidRPr="00287284">
        <w:rPr>
          <w:rFonts w:ascii="华文中宋" w:eastAsia="华文中宋" w:hAnsi="华文中宋" w:cs="微软雅黑" w:hint="eastAsia"/>
          <w:bCs/>
          <w:color w:val="000000"/>
          <w:kern w:val="0"/>
          <w:sz w:val="32"/>
          <w:szCs w:val="32"/>
        </w:rPr>
        <w:t>——</w:t>
      </w:r>
      <w:r w:rsidR="004C1E9A">
        <w:rPr>
          <w:rFonts w:ascii="仿宋_GB2312" w:eastAsia="仿宋_GB2312" w:cs="微软雅黑" w:hint="eastAsia"/>
          <w:bCs/>
          <w:color w:val="000000"/>
          <w:kern w:val="0"/>
          <w:sz w:val="32"/>
          <w:szCs w:val="32"/>
        </w:rPr>
        <w:t>预测第</w:t>
      </w:r>
      <m:oMath>
        <m:r>
          <w:rPr>
            <w:rFonts w:ascii="Cambria Math" w:eastAsia="仿宋_GB2312" w:hAnsi="Cambria Math"/>
            <w:sz w:val="32"/>
            <w:szCs w:val="32"/>
          </w:rPr>
          <m:t xml:space="preserve">t </m:t>
        </m:r>
      </m:oMath>
      <w:r w:rsidR="004C1E9A">
        <w:rPr>
          <w:rFonts w:ascii="仿宋_GB2312" w:eastAsia="仿宋_GB2312" w:cs="微软雅黑" w:hint="eastAsia"/>
          <w:bCs/>
          <w:color w:val="000000"/>
          <w:kern w:val="0"/>
          <w:sz w:val="32"/>
          <w:szCs w:val="32"/>
        </w:rPr>
        <w:t>期数据资产的息税前利润。</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cs="微软雅黑" w:hint="eastAsia"/>
          <w:bCs/>
          <w:color w:val="000000"/>
          <w:kern w:val="0"/>
          <w:sz w:val="32"/>
          <w:szCs w:val="32"/>
        </w:rPr>
        <w:t>3.适用场景</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cs="微软雅黑" w:hint="eastAsia"/>
          <w:bCs/>
          <w:color w:val="000000"/>
          <w:kern w:val="0"/>
          <w:sz w:val="32"/>
          <w:szCs w:val="32"/>
        </w:rPr>
        <w:t>直接收益预测通常适用于被评估数据资产的应用场景及商业模式相对独立，且数据资产对应服务或者产品为企业带来的直接收益可以合理预测的情形。</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cs="微软雅黑" w:hint="eastAsia"/>
          <w:bCs/>
          <w:color w:val="000000"/>
          <w:kern w:val="0"/>
          <w:sz w:val="32"/>
          <w:szCs w:val="32"/>
        </w:rPr>
        <w:t>例如：拥有用户数据的某公司建立数据资产管理中心，经用户授权后，提供数据调用服务并收取费用。</w:t>
      </w:r>
    </w:p>
    <w:p w:rsidR="004C1E9A" w:rsidRDefault="004C1E9A" w:rsidP="004C1E9A">
      <w:pPr>
        <w:snapToGrid w:val="0"/>
        <w:spacing w:line="578" w:lineRule="exact"/>
        <w:ind w:firstLineChars="200" w:firstLine="640"/>
        <w:rPr>
          <w:rFonts w:eastAsia="楷体_GB2312"/>
          <w:bCs/>
          <w:sz w:val="32"/>
          <w:szCs w:val="32"/>
        </w:rPr>
      </w:pPr>
      <w:r>
        <w:rPr>
          <w:rFonts w:eastAsia="楷体_GB2312" w:hint="eastAsia"/>
          <w:bCs/>
          <w:sz w:val="32"/>
          <w:szCs w:val="32"/>
        </w:rPr>
        <w:t>（二）分成收益预测</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cs="微软雅黑" w:hint="eastAsia"/>
          <w:bCs/>
          <w:color w:val="000000"/>
          <w:kern w:val="0"/>
          <w:sz w:val="32"/>
          <w:szCs w:val="32"/>
        </w:rPr>
        <w:t>1.技术思路</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分成收益预测是采用分成率计算数据资产预期收益的方式。具体思路是，首先计算总收益，然后将其在被评估数</w:t>
      </w:r>
      <w:r>
        <w:rPr>
          <w:rFonts w:eastAsia="仿宋_GB2312" w:hint="eastAsia"/>
          <w:bCs/>
          <w:sz w:val="32"/>
          <w:szCs w:val="32"/>
        </w:rPr>
        <w:lastRenderedPageBreak/>
        <w:t>据资产和产生总收益过程中作出贡献的其他资产之间进行分成。分成率通常包括收入提成率和利润分成率两种。</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cs="微软雅黑"/>
          <w:bCs/>
          <w:color w:val="000000"/>
          <w:kern w:val="0"/>
          <w:sz w:val="32"/>
          <w:szCs w:val="32"/>
        </w:rPr>
        <w:t>2.</w:t>
      </w:r>
      <w:r>
        <w:rPr>
          <w:rFonts w:ascii="仿宋_GB2312" w:eastAsia="仿宋_GB2312" w:cs="微软雅黑" w:hint="eastAsia"/>
          <w:bCs/>
          <w:color w:val="000000"/>
          <w:kern w:val="0"/>
          <w:sz w:val="32"/>
          <w:szCs w:val="32"/>
        </w:rPr>
        <w:t>参考公式</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采用收入提成率时：</w:t>
      </w:r>
    </w:p>
    <w:p w:rsidR="004C1E9A" w:rsidRDefault="000568EF" w:rsidP="004C1E9A">
      <w:pPr>
        <w:snapToGrid w:val="0"/>
        <w:spacing w:line="578" w:lineRule="exact"/>
        <w:rPr>
          <w:rFonts w:eastAsia="仿宋_GB2312"/>
          <w:bCs/>
          <w:sz w:val="32"/>
          <w:szCs w:val="32"/>
        </w:rPr>
      </w:pPr>
      <m:oMathPara>
        <m:oMath>
          <m:sSub>
            <m:sSubPr>
              <m:ctrlPr>
                <w:rPr>
                  <w:rFonts w:ascii="Cambria Math" w:eastAsia="仿宋_GB2312" w:hAnsi="Cambria Math"/>
                  <w:bCs/>
                  <w:sz w:val="32"/>
                  <w:szCs w:val="32"/>
                </w:rPr>
              </m:ctrlPr>
            </m:sSubPr>
            <m:e>
              <m:r>
                <w:rPr>
                  <w:rFonts w:ascii="Cambria Math" w:eastAsia="仿宋_GB2312" w:hAnsi="Cambria Math"/>
                  <w:sz w:val="32"/>
                  <w:szCs w:val="32"/>
                </w:rPr>
                <m:t>F</m:t>
              </m:r>
            </m:e>
            <m:sub>
              <m:r>
                <w:rPr>
                  <w:rFonts w:ascii="Cambria Math" w:eastAsia="仿宋_GB2312" w:hAnsi="Cambria Math"/>
                  <w:sz w:val="32"/>
                  <w:szCs w:val="32"/>
                </w:rPr>
                <m:t>t</m:t>
              </m:r>
            </m:sub>
          </m:sSub>
          <m:r>
            <m:rPr>
              <m:sty m:val="p"/>
            </m:rPr>
            <w:rPr>
              <w:rFonts w:ascii="Cambria Math" w:eastAsia="仿宋_GB2312" w:hAnsi="Cambria Math"/>
              <w:sz w:val="32"/>
              <w:szCs w:val="32"/>
            </w:rPr>
            <m:t>=</m:t>
          </m:r>
          <m:sSub>
            <m:sSubPr>
              <m:ctrlPr>
                <w:rPr>
                  <w:rFonts w:ascii="Cambria Math" w:eastAsia="仿宋_GB2312" w:hAnsi="Cambria Math"/>
                  <w:bCs/>
                  <w:sz w:val="32"/>
                  <w:szCs w:val="32"/>
                </w:rPr>
              </m:ctrlPr>
            </m:sSubPr>
            <m:e>
              <m:r>
                <w:rPr>
                  <w:rFonts w:ascii="Cambria Math" w:eastAsia="仿宋_GB2312" w:hAnsi="Cambria Math"/>
                  <w:sz w:val="32"/>
                  <w:szCs w:val="32"/>
                </w:rPr>
                <m:t>R</m:t>
              </m:r>
            </m:e>
            <m:sub>
              <m:r>
                <w:rPr>
                  <w:rFonts w:ascii="Cambria Math" w:eastAsia="仿宋_GB2312" w:hAnsi="Cambria Math"/>
                  <w:sz w:val="32"/>
                  <w:szCs w:val="32"/>
                </w:rPr>
                <m:t>t</m:t>
              </m:r>
            </m:sub>
          </m:sSub>
          <m:r>
            <m:rPr>
              <m:sty m:val="p"/>
            </m:rPr>
            <w:rPr>
              <w:rFonts w:ascii="Cambria Math" w:eastAsia="仿宋_GB2312" w:hAnsi="Cambria Math" w:hint="eastAsia"/>
              <w:sz w:val="32"/>
              <w:szCs w:val="32"/>
            </w:rPr>
            <m:t>×</m:t>
          </m:r>
          <m:sSub>
            <m:sSubPr>
              <m:ctrlPr>
                <w:rPr>
                  <w:rFonts w:ascii="Cambria Math" w:eastAsia="仿宋_GB2312" w:hAnsi="Cambria Math"/>
                  <w:bCs/>
                  <w:sz w:val="32"/>
                  <w:szCs w:val="32"/>
                </w:rPr>
              </m:ctrlPr>
            </m:sSubPr>
            <m:e>
              <m:r>
                <w:rPr>
                  <w:rFonts w:ascii="Cambria Math" w:eastAsia="仿宋_GB2312" w:hAnsi="Cambria Math"/>
                  <w:sz w:val="32"/>
                  <w:szCs w:val="32"/>
                </w:rPr>
                <m:t>K</m:t>
              </m:r>
            </m:e>
            <m:sub>
              <m:r>
                <w:rPr>
                  <w:rFonts w:ascii="Cambria Math" w:eastAsia="仿宋_GB2312" w:hAnsi="Cambria Math"/>
                  <w:sz w:val="32"/>
                  <w:szCs w:val="32"/>
                </w:rPr>
                <m:t>t1</m:t>
              </m:r>
            </m:sub>
          </m:sSub>
        </m:oMath>
      </m:oMathPara>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采用利润分成率时：</w:t>
      </w:r>
    </w:p>
    <w:p w:rsidR="004C1E9A" w:rsidRDefault="000568EF" w:rsidP="004C1E9A">
      <w:pPr>
        <w:snapToGrid w:val="0"/>
        <w:spacing w:line="578" w:lineRule="exact"/>
        <w:rPr>
          <w:rFonts w:eastAsia="仿宋_GB2312"/>
          <w:bCs/>
          <w:sz w:val="32"/>
          <w:szCs w:val="32"/>
        </w:rPr>
      </w:pPr>
      <m:oMathPara>
        <m:oMath>
          <m:sSub>
            <m:sSubPr>
              <m:ctrlPr>
                <w:rPr>
                  <w:rFonts w:ascii="Cambria Math" w:eastAsia="仿宋_GB2312" w:hAnsi="Cambria Math"/>
                  <w:bCs/>
                  <w:sz w:val="32"/>
                  <w:szCs w:val="32"/>
                </w:rPr>
              </m:ctrlPr>
            </m:sSubPr>
            <m:e>
              <m:r>
                <w:rPr>
                  <w:rFonts w:ascii="Cambria Math" w:eastAsia="仿宋_GB2312" w:hAnsi="Cambria Math"/>
                  <w:sz w:val="32"/>
                  <w:szCs w:val="32"/>
                </w:rPr>
                <m:t>F</m:t>
              </m:r>
            </m:e>
            <m:sub>
              <m:r>
                <w:rPr>
                  <w:rFonts w:ascii="Cambria Math" w:eastAsia="仿宋_GB2312" w:hAnsi="Cambria Math"/>
                  <w:sz w:val="32"/>
                  <w:szCs w:val="32"/>
                </w:rPr>
                <m:t>t</m:t>
              </m:r>
            </m:sub>
          </m:sSub>
          <m:r>
            <m:rPr>
              <m:sty m:val="p"/>
            </m:rPr>
            <w:rPr>
              <w:rFonts w:ascii="Cambria Math" w:eastAsia="仿宋_GB2312" w:hAnsi="Cambria Math"/>
              <w:sz w:val="32"/>
              <w:szCs w:val="32"/>
            </w:rPr>
            <m:t>=</m:t>
          </m:r>
          <m:sSub>
            <m:sSubPr>
              <m:ctrlPr>
                <w:rPr>
                  <w:rFonts w:ascii="Cambria Math" w:eastAsia="仿宋_GB2312" w:hAnsi="Cambria Math"/>
                  <w:bCs/>
                  <w:sz w:val="32"/>
                  <w:szCs w:val="32"/>
                </w:rPr>
              </m:ctrlPr>
            </m:sSubPr>
            <m:e>
              <m:r>
                <w:rPr>
                  <w:rFonts w:ascii="Cambria Math" w:eastAsia="仿宋_GB2312" w:hAnsi="Cambria Math"/>
                  <w:sz w:val="32"/>
                  <w:szCs w:val="32"/>
                </w:rPr>
                <m:t>R</m:t>
              </m:r>
            </m:e>
            <m:sub>
              <m:r>
                <w:rPr>
                  <w:rFonts w:ascii="Cambria Math" w:eastAsia="仿宋_GB2312" w:hAnsi="Cambria Math"/>
                  <w:sz w:val="32"/>
                  <w:szCs w:val="32"/>
                </w:rPr>
                <m:t>t</m:t>
              </m:r>
            </m:sub>
          </m:sSub>
          <m:r>
            <m:rPr>
              <m:sty m:val="p"/>
            </m:rPr>
            <w:rPr>
              <w:rFonts w:ascii="Cambria Math" w:eastAsia="仿宋_GB2312" w:hAnsi="Cambria Math" w:hint="eastAsia"/>
              <w:sz w:val="32"/>
              <w:szCs w:val="32"/>
            </w:rPr>
            <m:t>×</m:t>
          </m:r>
          <m:sSub>
            <m:sSubPr>
              <m:ctrlPr>
                <w:rPr>
                  <w:rFonts w:ascii="Cambria Math" w:eastAsia="仿宋_GB2312" w:hAnsi="Cambria Math"/>
                  <w:bCs/>
                  <w:sz w:val="32"/>
                  <w:szCs w:val="32"/>
                </w:rPr>
              </m:ctrlPr>
            </m:sSubPr>
            <m:e>
              <m:r>
                <w:rPr>
                  <w:rFonts w:ascii="Cambria Math" w:eastAsia="仿宋_GB2312" w:hAnsi="Cambria Math"/>
                  <w:sz w:val="32"/>
                  <w:szCs w:val="32"/>
                </w:rPr>
                <m:t>K</m:t>
              </m:r>
            </m:e>
            <m:sub>
              <m:r>
                <w:rPr>
                  <w:rFonts w:ascii="Cambria Math" w:eastAsia="仿宋_GB2312" w:hAnsi="Cambria Math"/>
                  <w:sz w:val="32"/>
                  <w:szCs w:val="32"/>
                </w:rPr>
                <m:t>t2</m:t>
              </m:r>
            </m:sub>
          </m:sSub>
        </m:oMath>
      </m:oMathPara>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式中：</w:t>
      </w:r>
    </w:p>
    <w:p w:rsidR="004C1E9A" w:rsidRDefault="000568EF" w:rsidP="004C1E9A">
      <w:pPr>
        <w:adjustRightInd w:val="0"/>
        <w:snapToGrid w:val="0"/>
        <w:spacing w:line="578" w:lineRule="exact"/>
        <w:ind w:firstLineChars="200" w:firstLine="640"/>
        <w:rPr>
          <w:rFonts w:eastAsia="仿宋_GB2312"/>
          <w:bCs/>
          <w:sz w:val="32"/>
          <w:szCs w:val="32"/>
        </w:rPr>
      </w:pPr>
      <m:oMath>
        <m:sSub>
          <m:sSubPr>
            <m:ctrlPr>
              <w:rPr>
                <w:rFonts w:ascii="Cambria Math" w:eastAsia="仿宋_GB2312" w:hAnsi="Cambria Math"/>
                <w:bCs/>
                <w:sz w:val="32"/>
                <w:szCs w:val="32"/>
              </w:rPr>
            </m:ctrlPr>
          </m:sSubPr>
          <m:e>
            <m:r>
              <w:rPr>
                <w:rFonts w:ascii="Cambria Math" w:eastAsia="仿宋_GB2312" w:hAnsi="Cambria Math"/>
                <w:sz w:val="32"/>
                <w:szCs w:val="32"/>
              </w:rPr>
              <m:t>F</m:t>
            </m:r>
          </m:e>
          <m:sub>
            <m:r>
              <w:rPr>
                <w:rFonts w:ascii="Cambria Math" w:eastAsia="仿宋_GB2312" w:hAnsi="Cambria Math"/>
                <w:sz w:val="32"/>
                <w:szCs w:val="32"/>
              </w:rPr>
              <m:t>t</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预测</w:t>
      </w:r>
      <w:r w:rsidR="004C1E9A">
        <w:rPr>
          <w:rFonts w:ascii="仿宋_GB2312" w:eastAsia="仿宋_GB2312" w:cs="微软雅黑" w:hint="eastAsia"/>
          <w:bCs/>
          <w:color w:val="000000"/>
          <w:kern w:val="0"/>
          <w:sz w:val="32"/>
          <w:szCs w:val="32"/>
        </w:rPr>
        <w:t>第</w:t>
      </w:r>
      <m:oMath>
        <m:r>
          <w:rPr>
            <w:rFonts w:ascii="Cambria Math" w:eastAsia="仿宋_GB2312" w:hAnsi="Cambria Math"/>
            <w:sz w:val="32"/>
            <w:szCs w:val="32"/>
          </w:rPr>
          <m:t xml:space="preserve">t </m:t>
        </m:r>
      </m:oMath>
      <w:r w:rsidR="004C1E9A">
        <w:rPr>
          <w:rFonts w:ascii="仿宋_GB2312" w:eastAsia="仿宋_GB2312" w:cs="微软雅黑" w:hint="eastAsia"/>
          <w:bCs/>
          <w:color w:val="000000"/>
          <w:kern w:val="0"/>
          <w:sz w:val="32"/>
          <w:szCs w:val="32"/>
        </w:rPr>
        <w:t>期</w:t>
      </w:r>
      <w:r w:rsidR="004C1E9A">
        <w:rPr>
          <w:rFonts w:eastAsia="仿宋_GB2312" w:hint="eastAsia"/>
          <w:bCs/>
          <w:sz w:val="32"/>
          <w:szCs w:val="32"/>
        </w:rPr>
        <w:t>数据资产的收益额；</w:t>
      </w:r>
    </w:p>
    <w:p w:rsidR="004C1E9A" w:rsidRDefault="000568EF" w:rsidP="004C1E9A">
      <w:pPr>
        <w:adjustRightInd w:val="0"/>
        <w:snapToGrid w:val="0"/>
        <w:spacing w:line="578" w:lineRule="exact"/>
        <w:ind w:firstLineChars="200" w:firstLine="640"/>
        <w:rPr>
          <w:rFonts w:eastAsia="仿宋_GB2312"/>
          <w:bCs/>
          <w:sz w:val="32"/>
          <w:szCs w:val="32"/>
        </w:rPr>
      </w:pPr>
      <m:oMath>
        <m:sSub>
          <m:sSubPr>
            <m:ctrlPr>
              <w:rPr>
                <w:rFonts w:ascii="Cambria Math" w:eastAsia="仿宋_GB2312" w:hAnsi="Cambria Math"/>
                <w:bCs/>
                <w:sz w:val="32"/>
                <w:szCs w:val="32"/>
              </w:rPr>
            </m:ctrlPr>
          </m:sSubPr>
          <m:e>
            <m:r>
              <w:rPr>
                <w:rFonts w:ascii="Cambria Math" w:eastAsia="仿宋_GB2312" w:hAnsi="Cambria Math"/>
                <w:sz w:val="32"/>
                <w:szCs w:val="32"/>
              </w:rPr>
              <m:t>R</m:t>
            </m:r>
          </m:e>
          <m:sub>
            <m:r>
              <w:rPr>
                <w:rFonts w:ascii="Cambria Math" w:eastAsia="仿宋_GB2312" w:hAnsi="Cambria Math"/>
                <w:sz w:val="32"/>
                <w:szCs w:val="32"/>
              </w:rPr>
              <m:t>t</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预测</w:t>
      </w:r>
      <w:r w:rsidR="004C1E9A">
        <w:rPr>
          <w:rFonts w:ascii="仿宋_GB2312" w:eastAsia="仿宋_GB2312" w:cs="微软雅黑" w:hint="eastAsia"/>
          <w:bCs/>
          <w:color w:val="000000"/>
          <w:kern w:val="0"/>
          <w:sz w:val="32"/>
          <w:szCs w:val="32"/>
        </w:rPr>
        <w:t>第</w:t>
      </w:r>
      <m:oMath>
        <m:r>
          <w:rPr>
            <w:rFonts w:ascii="Cambria Math" w:eastAsia="仿宋_GB2312" w:hAnsi="Cambria Math"/>
            <w:sz w:val="32"/>
            <w:szCs w:val="32"/>
          </w:rPr>
          <m:t xml:space="preserve">t </m:t>
        </m:r>
      </m:oMath>
      <w:r w:rsidR="004C1E9A">
        <w:rPr>
          <w:rFonts w:ascii="仿宋_GB2312" w:eastAsia="仿宋_GB2312" w:cs="微软雅黑" w:hint="eastAsia"/>
          <w:bCs/>
          <w:color w:val="000000"/>
          <w:kern w:val="0"/>
          <w:sz w:val="32"/>
          <w:szCs w:val="32"/>
        </w:rPr>
        <w:t>期</w:t>
      </w:r>
      <w:r w:rsidR="004C1E9A">
        <w:rPr>
          <w:rFonts w:eastAsia="仿宋_GB2312" w:hint="eastAsia"/>
          <w:bCs/>
          <w:sz w:val="32"/>
          <w:szCs w:val="32"/>
        </w:rPr>
        <w:t>总收入或者息税前利润；</w:t>
      </w:r>
    </w:p>
    <w:p w:rsidR="004C1E9A" w:rsidRDefault="000568EF" w:rsidP="004C1E9A">
      <w:pPr>
        <w:adjustRightInd w:val="0"/>
        <w:snapToGrid w:val="0"/>
        <w:spacing w:line="578" w:lineRule="exact"/>
        <w:ind w:firstLineChars="200" w:firstLine="640"/>
        <w:rPr>
          <w:rFonts w:eastAsia="仿宋_GB2312"/>
          <w:bCs/>
          <w:sz w:val="32"/>
          <w:szCs w:val="32"/>
        </w:rPr>
      </w:pPr>
      <m:oMath>
        <m:sSub>
          <m:sSubPr>
            <m:ctrlPr>
              <w:rPr>
                <w:rFonts w:ascii="Cambria Math" w:eastAsia="仿宋_GB2312" w:hAnsi="Cambria Math"/>
                <w:i/>
                <w:sz w:val="32"/>
                <w:szCs w:val="32"/>
              </w:rPr>
            </m:ctrlPr>
          </m:sSubPr>
          <m:e>
            <m:r>
              <w:rPr>
                <w:rFonts w:ascii="Cambria Math" w:eastAsia="仿宋_GB2312" w:hAnsi="Cambria Math"/>
                <w:sz w:val="32"/>
                <w:szCs w:val="32"/>
              </w:rPr>
              <m:t>K</m:t>
            </m:r>
          </m:e>
          <m:sub>
            <m:r>
              <w:rPr>
                <w:rFonts w:ascii="Cambria Math" w:eastAsia="仿宋_GB2312" w:hAnsi="Cambria Math"/>
                <w:sz w:val="32"/>
                <w:szCs w:val="32"/>
              </w:rPr>
              <m:t>t1</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预测</w:t>
      </w:r>
      <w:r w:rsidR="004C1E9A">
        <w:rPr>
          <w:rFonts w:ascii="仿宋_GB2312" w:eastAsia="仿宋_GB2312" w:cs="微软雅黑" w:hint="eastAsia"/>
          <w:bCs/>
          <w:color w:val="000000"/>
          <w:kern w:val="0"/>
          <w:sz w:val="32"/>
          <w:szCs w:val="32"/>
        </w:rPr>
        <w:t>第</w:t>
      </w:r>
      <m:oMath>
        <m:r>
          <w:rPr>
            <w:rFonts w:ascii="Cambria Math" w:eastAsia="仿宋_GB2312" w:hAnsi="Cambria Math"/>
            <w:sz w:val="32"/>
            <w:szCs w:val="32"/>
          </w:rPr>
          <m:t xml:space="preserve">t </m:t>
        </m:r>
      </m:oMath>
      <w:r w:rsidR="004C1E9A">
        <w:rPr>
          <w:rFonts w:ascii="仿宋_GB2312" w:eastAsia="仿宋_GB2312" w:cs="微软雅黑" w:hint="eastAsia"/>
          <w:bCs/>
          <w:color w:val="000000"/>
          <w:kern w:val="0"/>
          <w:sz w:val="32"/>
          <w:szCs w:val="32"/>
        </w:rPr>
        <w:t>期</w:t>
      </w:r>
      <w:r w:rsidR="004C1E9A">
        <w:rPr>
          <w:rFonts w:eastAsia="仿宋_GB2312" w:hint="eastAsia"/>
          <w:bCs/>
          <w:sz w:val="32"/>
          <w:szCs w:val="32"/>
        </w:rPr>
        <w:t>数据资产的收入提成率；</w:t>
      </w:r>
    </w:p>
    <w:p w:rsidR="004C1E9A" w:rsidRDefault="000568EF" w:rsidP="004C1E9A">
      <w:pPr>
        <w:adjustRightInd w:val="0"/>
        <w:snapToGrid w:val="0"/>
        <w:spacing w:line="578" w:lineRule="exact"/>
        <w:ind w:firstLineChars="200" w:firstLine="640"/>
        <w:rPr>
          <w:rFonts w:eastAsia="仿宋_GB2312"/>
          <w:bCs/>
          <w:sz w:val="32"/>
          <w:szCs w:val="32"/>
        </w:rPr>
      </w:pPr>
      <m:oMath>
        <m:sSub>
          <m:sSubPr>
            <m:ctrlPr>
              <w:rPr>
                <w:rFonts w:ascii="Cambria Math" w:eastAsia="仿宋_GB2312" w:hAnsi="Cambria Math"/>
                <w:i/>
                <w:sz w:val="32"/>
                <w:szCs w:val="32"/>
              </w:rPr>
            </m:ctrlPr>
          </m:sSubPr>
          <m:e>
            <m:r>
              <w:rPr>
                <w:rFonts w:ascii="Cambria Math" w:eastAsia="仿宋_GB2312" w:hAnsi="Cambria Math"/>
                <w:sz w:val="32"/>
                <w:szCs w:val="32"/>
              </w:rPr>
              <m:t>K</m:t>
            </m:r>
          </m:e>
          <m:sub>
            <m:r>
              <w:rPr>
                <w:rFonts w:ascii="Cambria Math" w:eastAsia="仿宋_GB2312" w:hAnsi="Cambria Math"/>
                <w:sz w:val="32"/>
                <w:szCs w:val="32"/>
              </w:rPr>
              <m:t>t2</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预测</w:t>
      </w:r>
      <w:r w:rsidR="004C1E9A">
        <w:rPr>
          <w:rFonts w:ascii="仿宋_GB2312" w:eastAsia="仿宋_GB2312" w:cs="微软雅黑" w:hint="eastAsia"/>
          <w:bCs/>
          <w:color w:val="000000"/>
          <w:kern w:val="0"/>
          <w:sz w:val="32"/>
          <w:szCs w:val="32"/>
        </w:rPr>
        <w:t>第</w:t>
      </w:r>
      <m:oMath>
        <m:r>
          <w:rPr>
            <w:rFonts w:ascii="Cambria Math" w:eastAsia="仿宋_GB2312" w:hAnsi="Cambria Math"/>
            <w:sz w:val="32"/>
            <w:szCs w:val="32"/>
          </w:rPr>
          <m:t xml:space="preserve">t </m:t>
        </m:r>
      </m:oMath>
      <w:r w:rsidR="004C1E9A">
        <w:rPr>
          <w:rFonts w:ascii="仿宋_GB2312" w:eastAsia="仿宋_GB2312" w:cs="微软雅黑" w:hint="eastAsia"/>
          <w:bCs/>
          <w:color w:val="000000"/>
          <w:kern w:val="0"/>
          <w:sz w:val="32"/>
          <w:szCs w:val="32"/>
        </w:rPr>
        <w:t>期</w:t>
      </w:r>
      <w:r w:rsidR="004C1E9A">
        <w:rPr>
          <w:rFonts w:eastAsia="仿宋_GB2312" w:hint="eastAsia"/>
          <w:bCs/>
          <w:sz w:val="32"/>
          <w:szCs w:val="32"/>
        </w:rPr>
        <w:t>数据资产的净利润分成率。</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cs="微软雅黑"/>
          <w:bCs/>
          <w:color w:val="000000"/>
          <w:kern w:val="0"/>
          <w:sz w:val="32"/>
          <w:szCs w:val="32"/>
        </w:rPr>
        <w:t>3.</w:t>
      </w:r>
      <w:r>
        <w:rPr>
          <w:rFonts w:ascii="仿宋_GB2312" w:eastAsia="仿宋_GB2312" w:cs="微软雅黑" w:hint="eastAsia"/>
          <w:bCs/>
          <w:color w:val="000000"/>
          <w:kern w:val="0"/>
          <w:sz w:val="32"/>
          <w:szCs w:val="32"/>
        </w:rPr>
        <w:t>适用场景</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分成收益预测通常适用于软件开发服务、数据平台对接服务、数据分析服务等数据资产应用场景，当其他相关资产要素所产生的收益不可单独计量时可以采用此方法。</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例如：对第一手数据进行加工利用并与软件开发服务等传统</w:t>
      </w:r>
      <w:r>
        <w:rPr>
          <w:rFonts w:ascii="仿宋_GB2312" w:eastAsia="仿宋_GB2312" w:cs="微软雅黑"/>
          <w:bCs/>
          <w:color w:val="000000"/>
          <w:kern w:val="0"/>
          <w:sz w:val="32"/>
          <w:szCs w:val="32"/>
        </w:rPr>
        <w:t>IT</w:t>
      </w:r>
      <w:r>
        <w:rPr>
          <w:rFonts w:eastAsia="仿宋_GB2312" w:hint="eastAsia"/>
          <w:bCs/>
          <w:sz w:val="32"/>
          <w:szCs w:val="32"/>
        </w:rPr>
        <w:t>项目结合为完整的解决方案，实现数据持续不断地在未来预测期间间接变现。</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在确定分成率时，需要对被评估数据资产的成本因素、</w:t>
      </w:r>
      <w:r>
        <w:rPr>
          <w:rFonts w:eastAsia="仿宋_GB2312"/>
          <w:bCs/>
          <w:sz w:val="32"/>
          <w:szCs w:val="32"/>
        </w:rPr>
        <w:t>场景因素、市场因素和质量因素</w:t>
      </w:r>
      <w:r>
        <w:rPr>
          <w:rFonts w:eastAsia="仿宋_GB2312" w:hint="eastAsia"/>
          <w:bCs/>
          <w:sz w:val="32"/>
          <w:szCs w:val="32"/>
        </w:rPr>
        <w:t>等</w:t>
      </w:r>
      <w:r>
        <w:rPr>
          <w:rFonts w:eastAsia="仿宋_GB2312"/>
          <w:bCs/>
          <w:sz w:val="32"/>
          <w:szCs w:val="32"/>
        </w:rPr>
        <w:t>方面</w:t>
      </w:r>
      <w:r>
        <w:rPr>
          <w:rFonts w:eastAsia="仿宋_GB2312" w:hint="eastAsia"/>
          <w:bCs/>
          <w:sz w:val="32"/>
          <w:szCs w:val="32"/>
        </w:rPr>
        <w:t>进行综合分析。</w:t>
      </w:r>
    </w:p>
    <w:p w:rsidR="004C1E9A" w:rsidRDefault="004C1E9A" w:rsidP="004C1E9A">
      <w:pPr>
        <w:snapToGrid w:val="0"/>
        <w:spacing w:line="578" w:lineRule="exact"/>
        <w:ind w:firstLineChars="200" w:firstLine="640"/>
        <w:rPr>
          <w:rFonts w:eastAsia="楷体_GB2312"/>
          <w:bCs/>
          <w:sz w:val="32"/>
          <w:szCs w:val="32"/>
        </w:rPr>
      </w:pPr>
      <w:r>
        <w:rPr>
          <w:rFonts w:eastAsia="楷体_GB2312" w:hint="eastAsia"/>
          <w:bCs/>
          <w:sz w:val="32"/>
          <w:szCs w:val="32"/>
        </w:rPr>
        <w:t>（三）超额收益预测</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cs="微软雅黑"/>
          <w:bCs/>
          <w:color w:val="000000"/>
          <w:kern w:val="0"/>
          <w:sz w:val="32"/>
          <w:szCs w:val="32"/>
        </w:rPr>
        <w:t>1.</w:t>
      </w:r>
      <w:r>
        <w:rPr>
          <w:rFonts w:ascii="仿宋_GB2312" w:eastAsia="仿宋_GB2312" w:cs="微软雅黑" w:hint="eastAsia"/>
          <w:bCs/>
          <w:color w:val="000000"/>
          <w:kern w:val="0"/>
          <w:sz w:val="32"/>
          <w:szCs w:val="32"/>
        </w:rPr>
        <w:t>技术思路</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超额收益预测是将归属于被评估数据资产所创造的超</w:t>
      </w:r>
      <w:r>
        <w:rPr>
          <w:rFonts w:eastAsia="仿宋_GB2312" w:hint="eastAsia"/>
          <w:bCs/>
          <w:sz w:val="32"/>
          <w:szCs w:val="32"/>
        </w:rPr>
        <w:lastRenderedPageBreak/>
        <w:t>额收益作为该项数据资产预期收益的方式。具体思路是，首先测算数据资产与其他相关贡献资产共同创造的整体收益，然后在整体收益中扣除其他相关贡献资产的贡献，将剩余收益确定为超额收益。除数据资产以外，相关贡献资产通常包括流动资产、固定资产、无形资产和组合劳动力等。</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cs="微软雅黑"/>
          <w:bCs/>
          <w:color w:val="000000"/>
          <w:kern w:val="0"/>
          <w:sz w:val="32"/>
          <w:szCs w:val="32"/>
        </w:rPr>
        <w:t>2.</w:t>
      </w:r>
      <w:r>
        <w:rPr>
          <w:rFonts w:ascii="仿宋_GB2312" w:eastAsia="仿宋_GB2312" w:cs="微软雅黑" w:hint="eastAsia"/>
          <w:bCs/>
          <w:color w:val="000000"/>
          <w:kern w:val="0"/>
          <w:sz w:val="32"/>
          <w:szCs w:val="32"/>
        </w:rPr>
        <w:t>参考公式</w:t>
      </w:r>
    </w:p>
    <w:p w:rsidR="004C1E9A" w:rsidRDefault="000568EF" w:rsidP="00F6052E">
      <w:pPr>
        <w:snapToGrid w:val="0"/>
        <w:spacing w:beforeLines="50" w:afterLines="50" w:line="578" w:lineRule="exact"/>
        <w:jc w:val="center"/>
        <w:rPr>
          <w:rFonts w:eastAsia="仿宋_GB2312"/>
          <w:bCs/>
          <w:sz w:val="32"/>
          <w:szCs w:val="32"/>
        </w:rPr>
      </w:pPr>
      <m:oMathPara>
        <m:oMath>
          <m:sSub>
            <m:sSubPr>
              <m:ctrlPr>
                <w:rPr>
                  <w:rFonts w:ascii="Cambria Math" w:eastAsia="仿宋_GB2312" w:hAnsi="Cambria Math"/>
                  <w:bCs/>
                  <w:sz w:val="32"/>
                  <w:szCs w:val="32"/>
                </w:rPr>
              </m:ctrlPr>
            </m:sSubPr>
            <m:e>
              <m:r>
                <w:rPr>
                  <w:rFonts w:ascii="Cambria Math" w:eastAsia="仿宋_GB2312" w:hAnsi="Cambria Math"/>
                  <w:sz w:val="32"/>
                  <w:szCs w:val="32"/>
                </w:rPr>
                <m:t>F</m:t>
              </m:r>
            </m:e>
            <m:sub>
              <m:r>
                <w:rPr>
                  <w:rFonts w:ascii="Cambria Math" w:eastAsia="仿宋_GB2312" w:hAnsi="Cambria Math"/>
                  <w:sz w:val="32"/>
                  <w:szCs w:val="32"/>
                </w:rPr>
                <m:t>t</m:t>
              </m:r>
            </m:sub>
          </m:sSub>
          <m:r>
            <m:rPr>
              <m:sty m:val="p"/>
            </m:rPr>
            <w:rPr>
              <w:rFonts w:ascii="Cambria Math" w:eastAsia="仿宋_GB2312" w:hAnsi="Cambria Math"/>
              <w:sz w:val="32"/>
              <w:szCs w:val="32"/>
            </w:rPr>
            <m:t>=</m:t>
          </m:r>
          <m:sSub>
            <m:sSubPr>
              <m:ctrlPr>
                <w:rPr>
                  <w:rFonts w:ascii="Cambria Math" w:eastAsia="仿宋_GB2312" w:hAnsi="Cambria Math"/>
                  <w:bCs/>
                  <w:sz w:val="32"/>
                  <w:szCs w:val="32"/>
                </w:rPr>
              </m:ctrlPr>
            </m:sSubPr>
            <m:e>
              <m:r>
                <w:rPr>
                  <w:rFonts w:ascii="Cambria Math" w:eastAsia="仿宋_GB2312" w:hAnsi="Cambria Math"/>
                  <w:sz w:val="32"/>
                  <w:szCs w:val="32"/>
                </w:rPr>
                <m:t>R</m:t>
              </m:r>
            </m:e>
            <m:sub>
              <m:r>
                <w:rPr>
                  <w:rFonts w:ascii="Cambria Math" w:eastAsia="仿宋_GB2312" w:hAnsi="Cambria Math"/>
                  <w:sz w:val="32"/>
                  <w:szCs w:val="32"/>
                </w:rPr>
                <m:t>t</m:t>
              </m:r>
            </m:sub>
          </m:sSub>
          <m:r>
            <m:rPr>
              <m:sty m:val="p"/>
            </m:rPr>
            <w:rPr>
              <w:rFonts w:ascii="Cambria Math" w:eastAsia="MS Mincho" w:hAnsi="Cambria Math"/>
              <w:sz w:val="32"/>
              <w:szCs w:val="32"/>
            </w:rPr>
            <m:t>-</m:t>
          </m:r>
          <m:nary>
            <m:naryPr>
              <m:chr m:val="∑"/>
              <m:limLoc m:val="subSup"/>
              <m:ctrlPr>
                <w:rPr>
                  <w:rFonts w:ascii="Cambria Math" w:eastAsia="仿宋_GB2312" w:hAnsi="Cambria Math"/>
                  <w:bCs/>
                  <w:sz w:val="32"/>
                  <w:szCs w:val="32"/>
                </w:rPr>
              </m:ctrlPr>
            </m:naryPr>
            <m:sub>
              <m:r>
                <w:rPr>
                  <w:rFonts w:ascii="Cambria Math" w:eastAsia="仿宋_GB2312" w:hAnsi="Cambria Math"/>
                  <w:sz w:val="32"/>
                  <w:szCs w:val="32"/>
                </w:rPr>
                <m:t>i=1</m:t>
              </m:r>
            </m:sub>
            <m:sup>
              <m:r>
                <w:rPr>
                  <w:rFonts w:ascii="Cambria Math" w:eastAsia="仿宋_GB2312" w:hAnsi="Cambria Math"/>
                  <w:sz w:val="32"/>
                  <w:szCs w:val="32"/>
                </w:rPr>
                <m:t>n</m:t>
              </m:r>
            </m:sup>
            <m:e>
              <m:sSub>
                <m:sSubPr>
                  <m:ctrlPr>
                    <w:rPr>
                      <w:rFonts w:ascii="Cambria Math" w:eastAsia="仿宋_GB2312" w:hAnsi="Cambria Math"/>
                      <w:i/>
                      <w:sz w:val="32"/>
                      <w:szCs w:val="32"/>
                    </w:rPr>
                  </m:ctrlPr>
                </m:sSubPr>
                <m:e>
                  <m:r>
                    <w:rPr>
                      <w:rFonts w:ascii="Cambria Math" w:eastAsia="仿宋_GB2312" w:hAnsi="Cambria Math"/>
                      <w:sz w:val="32"/>
                      <w:szCs w:val="32"/>
                    </w:rPr>
                    <m:t>C</m:t>
                  </m:r>
                  <m:ctrlPr>
                    <w:rPr>
                      <w:rFonts w:ascii="Cambria Math" w:eastAsia="仿宋_GB2312" w:hAnsi="Cambria Math"/>
                      <w:bCs/>
                      <w:i/>
                      <w:sz w:val="32"/>
                      <w:szCs w:val="32"/>
                    </w:rPr>
                  </m:ctrlPr>
                </m:e>
                <m:sub>
                  <m:r>
                    <w:rPr>
                      <w:rFonts w:ascii="Cambria Math" w:eastAsia="仿宋_GB2312" w:hAnsi="Cambria Math"/>
                      <w:sz w:val="32"/>
                      <w:szCs w:val="32"/>
                    </w:rPr>
                    <m:t>ti</m:t>
                  </m:r>
                  <m:ctrlPr>
                    <w:rPr>
                      <w:rFonts w:ascii="Cambria Math" w:eastAsia="仿宋_GB2312" w:hAnsi="Cambria Math"/>
                      <w:bCs/>
                      <w:i/>
                      <w:sz w:val="32"/>
                      <w:szCs w:val="32"/>
                    </w:rPr>
                  </m:ctrlPr>
                </m:sub>
              </m:sSub>
            </m:e>
          </m:nary>
        </m:oMath>
      </m:oMathPara>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式中：</w:t>
      </w:r>
    </w:p>
    <w:p w:rsidR="004C1E9A" w:rsidRDefault="000568EF" w:rsidP="004C1E9A">
      <w:pPr>
        <w:snapToGrid w:val="0"/>
        <w:spacing w:line="578" w:lineRule="exact"/>
        <w:ind w:firstLineChars="200" w:firstLine="640"/>
        <w:rPr>
          <w:rFonts w:eastAsia="仿宋_GB2312"/>
          <w:bCs/>
          <w:sz w:val="32"/>
          <w:szCs w:val="32"/>
        </w:rPr>
      </w:pPr>
      <m:oMath>
        <m:sSub>
          <m:sSubPr>
            <m:ctrlPr>
              <w:rPr>
                <w:rFonts w:ascii="Cambria Math" w:eastAsia="仿宋_GB2312" w:hAnsi="Cambria Math"/>
                <w:bCs/>
                <w:sz w:val="32"/>
                <w:szCs w:val="32"/>
              </w:rPr>
            </m:ctrlPr>
          </m:sSubPr>
          <m:e>
            <m:r>
              <w:rPr>
                <w:rFonts w:ascii="Cambria Math" w:eastAsia="仿宋_GB2312" w:hAnsi="Cambria Math"/>
                <w:sz w:val="32"/>
                <w:szCs w:val="32"/>
              </w:rPr>
              <m:t>F</m:t>
            </m:r>
          </m:e>
          <m:sub>
            <m:r>
              <w:rPr>
                <w:rFonts w:ascii="Cambria Math" w:eastAsia="仿宋_GB2312" w:hAnsi="Cambria Math"/>
                <w:sz w:val="32"/>
                <w:szCs w:val="32"/>
              </w:rPr>
              <m:t>t</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预测</w:t>
      </w:r>
      <w:r w:rsidR="004C1E9A">
        <w:rPr>
          <w:rFonts w:ascii="仿宋_GB2312" w:eastAsia="仿宋_GB2312" w:cs="微软雅黑" w:hint="eastAsia"/>
          <w:bCs/>
          <w:color w:val="000000"/>
          <w:kern w:val="0"/>
          <w:sz w:val="32"/>
          <w:szCs w:val="32"/>
        </w:rPr>
        <w:t>第</w:t>
      </w:r>
      <m:oMath>
        <m:r>
          <w:rPr>
            <w:rFonts w:ascii="Cambria Math" w:eastAsia="仿宋_GB2312" w:hAnsi="Cambria Math"/>
            <w:sz w:val="32"/>
            <w:szCs w:val="32"/>
          </w:rPr>
          <m:t xml:space="preserve">t </m:t>
        </m:r>
      </m:oMath>
      <w:r w:rsidR="004C1E9A">
        <w:rPr>
          <w:rFonts w:ascii="仿宋_GB2312" w:eastAsia="仿宋_GB2312" w:cs="微软雅黑" w:hint="eastAsia"/>
          <w:bCs/>
          <w:color w:val="000000"/>
          <w:kern w:val="0"/>
          <w:sz w:val="32"/>
          <w:szCs w:val="32"/>
        </w:rPr>
        <w:t>期</w:t>
      </w:r>
      <w:r w:rsidR="004C1E9A">
        <w:rPr>
          <w:rFonts w:eastAsia="仿宋_GB2312" w:hint="eastAsia"/>
          <w:bCs/>
          <w:sz w:val="32"/>
          <w:szCs w:val="32"/>
        </w:rPr>
        <w:t>数据资产的收益额；</w:t>
      </w:r>
    </w:p>
    <w:p w:rsidR="004C1E9A" w:rsidRDefault="000568EF" w:rsidP="004C1E9A">
      <w:pPr>
        <w:snapToGrid w:val="0"/>
        <w:spacing w:line="578" w:lineRule="exact"/>
        <w:ind w:firstLineChars="200" w:firstLine="640"/>
        <w:rPr>
          <w:rFonts w:eastAsia="仿宋_GB2312"/>
          <w:bCs/>
          <w:sz w:val="32"/>
          <w:szCs w:val="32"/>
        </w:rPr>
      </w:pPr>
      <m:oMath>
        <m:sSub>
          <m:sSubPr>
            <m:ctrlPr>
              <w:rPr>
                <w:rFonts w:ascii="Cambria Math" w:eastAsia="仿宋_GB2312" w:hAnsi="Cambria Math"/>
                <w:bCs/>
                <w:sz w:val="32"/>
                <w:szCs w:val="32"/>
              </w:rPr>
            </m:ctrlPr>
          </m:sSubPr>
          <m:e>
            <m:r>
              <w:rPr>
                <w:rFonts w:ascii="Cambria Math" w:eastAsia="仿宋_GB2312" w:hAnsi="Cambria Math"/>
                <w:sz w:val="32"/>
                <w:szCs w:val="32"/>
              </w:rPr>
              <m:t>R</m:t>
            </m:r>
          </m:e>
          <m:sub>
            <m:r>
              <w:rPr>
                <w:rFonts w:ascii="Cambria Math" w:eastAsia="仿宋_GB2312" w:hAnsi="Cambria Math"/>
                <w:sz w:val="32"/>
                <w:szCs w:val="32"/>
              </w:rPr>
              <m:t>t</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数据资产与其他相关贡献资产共同产生的整体收益</w:t>
      </w:r>
      <w:r w:rsidR="004C1E9A">
        <w:rPr>
          <w:rFonts w:eastAsia="仿宋_GB2312"/>
          <w:bCs/>
          <w:sz w:val="32"/>
          <w:szCs w:val="32"/>
        </w:rPr>
        <w:t>额</w:t>
      </w:r>
      <w:r w:rsidR="004C1E9A">
        <w:rPr>
          <w:rFonts w:eastAsia="仿宋_GB2312" w:hint="eastAsia"/>
          <w:bCs/>
          <w:sz w:val="32"/>
          <w:szCs w:val="32"/>
        </w:rPr>
        <w:t>；</w:t>
      </w:r>
    </w:p>
    <w:p w:rsidR="004C1E9A" w:rsidRDefault="004C1E9A" w:rsidP="004C1E9A">
      <w:pPr>
        <w:snapToGrid w:val="0"/>
        <w:spacing w:line="578" w:lineRule="exact"/>
        <w:ind w:firstLineChars="200" w:firstLine="640"/>
        <w:rPr>
          <w:rFonts w:eastAsia="仿宋_GB2312"/>
          <w:bCs/>
          <w:sz w:val="32"/>
          <w:szCs w:val="32"/>
        </w:rPr>
      </w:pPr>
      <m:oMath>
        <m:r>
          <w:rPr>
            <w:rFonts w:ascii="Cambria Math" w:eastAsia="仿宋_GB2312" w:hAnsi="Cambria Math"/>
            <w:sz w:val="32"/>
            <w:szCs w:val="32"/>
          </w:rPr>
          <m:t>n</m:t>
        </m:r>
      </m:oMath>
      <w:r w:rsidRPr="00287284">
        <w:rPr>
          <w:rFonts w:ascii="华文中宋" w:eastAsia="华文中宋" w:hAnsi="华文中宋" w:hint="eastAsia"/>
          <w:bCs/>
          <w:sz w:val="32"/>
          <w:szCs w:val="32"/>
        </w:rPr>
        <w:t>——</w:t>
      </w:r>
      <w:r>
        <w:rPr>
          <w:rFonts w:ascii="仿宋_GB2312" w:eastAsia="仿宋_GB2312" w:hint="eastAsia"/>
          <w:bCs/>
          <w:sz w:val="32"/>
          <w:szCs w:val="32"/>
        </w:rPr>
        <w:t>其他相关贡献资产的种类；</w:t>
      </w:r>
    </w:p>
    <w:p w:rsidR="004C1E9A" w:rsidRPr="00353CF6" w:rsidRDefault="004C1E9A" w:rsidP="004C1E9A">
      <w:pPr>
        <w:snapToGrid w:val="0"/>
        <w:spacing w:line="578" w:lineRule="exact"/>
        <w:ind w:firstLineChars="200" w:firstLine="640"/>
        <w:rPr>
          <w:rFonts w:eastAsia="仿宋_GB2312"/>
          <w:i/>
          <w:iCs/>
          <w:sz w:val="32"/>
          <w:szCs w:val="32"/>
        </w:rPr>
      </w:pPr>
      <m:oMath>
        <m:r>
          <w:rPr>
            <w:rFonts w:ascii="Cambria Math" w:eastAsia="仿宋_GB2312" w:hAnsi="Cambria Math"/>
            <w:sz w:val="32"/>
            <w:szCs w:val="32"/>
          </w:rPr>
          <m:t>i</m:t>
        </m:r>
      </m:oMath>
      <w:r w:rsidRPr="00287284">
        <w:rPr>
          <w:rFonts w:ascii="华文中宋" w:eastAsia="华文中宋" w:hAnsi="华文中宋" w:hint="eastAsia"/>
          <w:bCs/>
          <w:sz w:val="32"/>
          <w:szCs w:val="32"/>
        </w:rPr>
        <w:t>——</w:t>
      </w:r>
      <w:r>
        <w:rPr>
          <w:rFonts w:ascii="仿宋_GB2312" w:eastAsia="仿宋_GB2312" w:hint="eastAsia"/>
          <w:bCs/>
          <w:sz w:val="32"/>
          <w:szCs w:val="32"/>
        </w:rPr>
        <w:t>其他相关贡献资产的序号；</w:t>
      </w:r>
    </w:p>
    <w:p w:rsidR="004C1E9A" w:rsidRDefault="000568EF" w:rsidP="004C1E9A">
      <w:pPr>
        <w:snapToGrid w:val="0"/>
        <w:spacing w:line="578" w:lineRule="exact"/>
        <w:ind w:firstLineChars="200" w:firstLine="640"/>
        <w:rPr>
          <w:rFonts w:eastAsia="仿宋_GB2312"/>
          <w:bCs/>
          <w:sz w:val="32"/>
          <w:szCs w:val="32"/>
        </w:rPr>
      </w:pPr>
      <m:oMath>
        <m:sSub>
          <m:sSubPr>
            <m:ctrlPr>
              <w:rPr>
                <w:rFonts w:ascii="Cambria Math" w:eastAsia="仿宋_GB2312" w:hAnsi="Cambria Math"/>
                <w:i/>
                <w:sz w:val="32"/>
                <w:szCs w:val="32"/>
              </w:rPr>
            </m:ctrlPr>
          </m:sSubPr>
          <m:e>
            <m:r>
              <w:rPr>
                <w:rFonts w:ascii="Cambria Math" w:eastAsia="仿宋_GB2312" w:hAnsi="Cambria Math"/>
                <w:sz w:val="32"/>
                <w:szCs w:val="32"/>
              </w:rPr>
              <m:t>C</m:t>
            </m:r>
            <m:ctrlPr>
              <w:rPr>
                <w:rFonts w:ascii="Cambria Math" w:eastAsia="仿宋_GB2312" w:hAnsi="Cambria Math"/>
                <w:bCs/>
                <w:i/>
                <w:sz w:val="32"/>
                <w:szCs w:val="32"/>
              </w:rPr>
            </m:ctrlPr>
          </m:e>
          <m:sub>
            <m:r>
              <w:rPr>
                <w:rFonts w:ascii="Cambria Math" w:eastAsia="仿宋_GB2312" w:hAnsi="Cambria Math"/>
                <w:sz w:val="32"/>
                <w:szCs w:val="32"/>
              </w:rPr>
              <m:t>ti</m:t>
            </m:r>
            <m:ctrlPr>
              <w:rPr>
                <w:rFonts w:ascii="Cambria Math" w:eastAsia="仿宋_GB2312" w:hAnsi="Cambria Math"/>
                <w:bCs/>
                <w:i/>
                <w:sz w:val="32"/>
                <w:szCs w:val="32"/>
              </w:rPr>
            </m:ctrlP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预测</w:t>
      </w:r>
      <w:r w:rsidR="004C1E9A">
        <w:rPr>
          <w:rFonts w:ascii="仿宋_GB2312" w:eastAsia="仿宋_GB2312" w:cs="微软雅黑" w:hint="eastAsia"/>
          <w:bCs/>
          <w:color w:val="000000"/>
          <w:kern w:val="0"/>
          <w:sz w:val="32"/>
          <w:szCs w:val="32"/>
        </w:rPr>
        <w:t>第</w:t>
      </w:r>
      <m:oMath>
        <m:r>
          <w:rPr>
            <w:rFonts w:ascii="Cambria Math" w:eastAsia="仿宋_GB2312" w:hAnsi="Cambria Math"/>
            <w:sz w:val="32"/>
            <w:szCs w:val="32"/>
          </w:rPr>
          <m:t xml:space="preserve">t </m:t>
        </m:r>
      </m:oMath>
      <w:r w:rsidR="004C1E9A">
        <w:rPr>
          <w:rFonts w:ascii="仿宋_GB2312" w:eastAsia="仿宋_GB2312" w:cs="微软雅黑" w:hint="eastAsia"/>
          <w:bCs/>
          <w:color w:val="000000"/>
          <w:kern w:val="0"/>
          <w:sz w:val="32"/>
          <w:szCs w:val="32"/>
        </w:rPr>
        <w:t>期</w:t>
      </w:r>
      <w:r w:rsidR="004C1E9A">
        <w:rPr>
          <w:rFonts w:eastAsia="仿宋_GB2312" w:hint="eastAsia"/>
          <w:bCs/>
          <w:sz w:val="32"/>
          <w:szCs w:val="32"/>
        </w:rPr>
        <w:t>其他相关贡献资产</w:t>
      </w:r>
      <w:r w:rsidR="004C1E9A">
        <w:rPr>
          <w:rFonts w:eastAsia="仿宋_GB2312"/>
          <w:bCs/>
          <w:sz w:val="32"/>
          <w:szCs w:val="32"/>
        </w:rPr>
        <w:t>的</w:t>
      </w:r>
      <w:r w:rsidR="004C1E9A">
        <w:rPr>
          <w:rFonts w:eastAsia="仿宋_GB2312" w:hint="eastAsia"/>
          <w:bCs/>
          <w:sz w:val="32"/>
          <w:szCs w:val="32"/>
        </w:rPr>
        <w:t>收益</w:t>
      </w:r>
      <w:r w:rsidR="004C1E9A">
        <w:rPr>
          <w:rFonts w:eastAsia="仿宋_GB2312"/>
          <w:bCs/>
          <w:sz w:val="32"/>
          <w:szCs w:val="32"/>
        </w:rPr>
        <w:t>额</w:t>
      </w:r>
      <w:r w:rsidR="004C1E9A">
        <w:rPr>
          <w:rFonts w:eastAsia="仿宋_GB2312" w:hint="eastAsia"/>
          <w:bCs/>
          <w:sz w:val="32"/>
          <w:szCs w:val="32"/>
        </w:rPr>
        <w:t>。</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hint="eastAsia"/>
          <w:bCs/>
          <w:sz w:val="32"/>
          <w:szCs w:val="32"/>
        </w:rPr>
        <w:t>3.适用场景</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超额收益预测通常适用于被评估数据资产可以与资产组中的其他数据资产、无形资产、有形资产的贡献进行合理分割，且贡献之和与企业整体或者资产组正常收益相比后仍有剩余的情形。尤其是数据资产产生的收益占整体业务比重较高，且其他资产要素对收益的贡献能够明确计量的数据服务公司。</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例如：对自有及公开数据进行加工整合后通过提供可供查询、自助分析的数据产品实现较明确的预期收益。</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lastRenderedPageBreak/>
        <w:t>在确定超额收益时，首先将被评估数据资产与其他共同发挥作用的相关资产组成资产组，然后调整溢余资产，进而对资产组的预期收益进行估算。在此基础上剔除非正常项目的收益和费用，以便预测折旧摊销和资本性支出等，从而确定贡献资产及其贡献率，并估计贡献资产的全部合理贡献。最后将预期收益扣除被评估数据资产以外的其他资产的贡献，得到超额收益。</w:t>
      </w:r>
    </w:p>
    <w:p w:rsidR="004C1E9A" w:rsidRDefault="004C1E9A" w:rsidP="004C1E9A">
      <w:pPr>
        <w:snapToGrid w:val="0"/>
        <w:spacing w:line="578" w:lineRule="exact"/>
        <w:ind w:firstLineChars="200" w:firstLine="640"/>
        <w:rPr>
          <w:rFonts w:eastAsia="楷体_GB2312"/>
          <w:bCs/>
          <w:sz w:val="32"/>
          <w:szCs w:val="32"/>
        </w:rPr>
      </w:pPr>
      <w:r>
        <w:rPr>
          <w:rFonts w:eastAsia="楷体_GB2312" w:hint="eastAsia"/>
          <w:bCs/>
          <w:sz w:val="32"/>
          <w:szCs w:val="32"/>
        </w:rPr>
        <w:t>（四）增量收益预测</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bCs/>
          <w:sz w:val="32"/>
          <w:szCs w:val="32"/>
        </w:rPr>
        <w:t>1.</w:t>
      </w:r>
      <w:r>
        <w:rPr>
          <w:rFonts w:ascii="仿宋_GB2312" w:eastAsia="仿宋_GB2312" w:hint="eastAsia"/>
          <w:bCs/>
          <w:sz w:val="32"/>
          <w:szCs w:val="32"/>
        </w:rPr>
        <w:t>技术思路</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增量收益预测是基于未来增量收益的预期而确定数据资产预期收益的方式。该增量收益来源于对被评估数据资产所在的主体和不具有该项数据资产的主体的经营业绩进行对比，即通过对比使用该项数据资产所得到的利润或者现金流量，与没有使用该项数据资产所得到的利润或者现金流量，</w:t>
      </w:r>
      <w:r>
        <w:rPr>
          <w:rFonts w:eastAsia="仿宋_GB2312"/>
          <w:bCs/>
          <w:sz w:val="32"/>
          <w:szCs w:val="32"/>
        </w:rPr>
        <w:t>将二者的</w:t>
      </w:r>
      <w:r>
        <w:rPr>
          <w:rFonts w:eastAsia="仿宋_GB2312" w:hint="eastAsia"/>
          <w:bCs/>
          <w:sz w:val="32"/>
          <w:szCs w:val="32"/>
        </w:rPr>
        <w:t>差异作为被评估数据资产所对应的增量收益。</w:t>
      </w:r>
    </w:p>
    <w:p w:rsidR="004C1E9A" w:rsidRDefault="004C1E9A" w:rsidP="004C1E9A">
      <w:pPr>
        <w:snapToGrid w:val="0"/>
        <w:spacing w:line="578" w:lineRule="exact"/>
        <w:ind w:firstLineChars="200" w:firstLine="640"/>
        <w:rPr>
          <w:rFonts w:ascii="仿宋_GB2312" w:eastAsia="仿宋_GB2312"/>
          <w:bCs/>
          <w:sz w:val="32"/>
          <w:szCs w:val="32"/>
        </w:rPr>
      </w:pPr>
      <w:r>
        <w:rPr>
          <w:rFonts w:ascii="仿宋_GB2312" w:eastAsia="仿宋_GB2312"/>
          <w:bCs/>
          <w:sz w:val="32"/>
          <w:szCs w:val="32"/>
        </w:rPr>
        <w:t>2.</w:t>
      </w:r>
      <w:r>
        <w:rPr>
          <w:rFonts w:ascii="仿宋_GB2312" w:eastAsia="仿宋_GB2312" w:hint="eastAsia"/>
          <w:bCs/>
          <w:sz w:val="32"/>
          <w:szCs w:val="32"/>
        </w:rPr>
        <w:t>参考公式</w:t>
      </w:r>
    </w:p>
    <w:p w:rsidR="004C1E9A" w:rsidRDefault="000568EF" w:rsidP="004C1E9A">
      <w:pPr>
        <w:snapToGrid w:val="0"/>
        <w:spacing w:line="578" w:lineRule="exact"/>
        <w:jc w:val="center"/>
        <w:rPr>
          <w:rFonts w:ascii="Cambria Math" w:eastAsia="仿宋_GB2312" w:hAnsi="Cambria Math"/>
          <w:bCs/>
          <w:sz w:val="32"/>
          <w:szCs w:val="32"/>
        </w:rPr>
      </w:pPr>
      <m:oMathPara>
        <m:oMath>
          <m:sSub>
            <m:sSubPr>
              <m:ctrlPr>
                <w:rPr>
                  <w:rFonts w:ascii="Cambria Math" w:eastAsia="仿宋_GB2312" w:hAnsi="Cambria Math"/>
                  <w:bCs/>
                  <w:i/>
                  <w:iCs/>
                  <w:sz w:val="32"/>
                  <w:szCs w:val="32"/>
                </w:rPr>
              </m:ctrlPr>
            </m:sSubPr>
            <m:e>
              <m:r>
                <w:rPr>
                  <w:rFonts w:ascii="Cambria Math" w:eastAsia="仿宋_GB2312" w:hAnsi="Cambria Math"/>
                  <w:sz w:val="32"/>
                  <w:szCs w:val="32"/>
                </w:rPr>
                <m:t>F</m:t>
              </m:r>
            </m:e>
            <m:sub>
              <m:r>
                <w:rPr>
                  <w:rFonts w:ascii="Cambria Math" w:eastAsia="仿宋_GB2312" w:hAnsi="Cambria Math"/>
                  <w:sz w:val="32"/>
                  <w:szCs w:val="32"/>
                </w:rPr>
                <m:t>t</m:t>
              </m:r>
            </m:sub>
          </m:sSub>
          <m:r>
            <m:rPr>
              <m:sty m:val="p"/>
            </m:rPr>
            <w:rPr>
              <w:rFonts w:ascii="Cambria Math" w:eastAsia="仿宋_GB2312" w:hAnsi="Cambria Math"/>
              <w:sz w:val="32"/>
              <w:szCs w:val="32"/>
            </w:rPr>
            <m:t>=</m:t>
          </m:r>
          <m:sSub>
            <m:sSubPr>
              <m:ctrlPr>
                <w:rPr>
                  <w:rFonts w:ascii="Cambria Math" w:eastAsia="仿宋_GB2312" w:hAnsi="Cambria Math"/>
                  <w:bCs/>
                  <w:i/>
                  <w:iCs/>
                  <w:sz w:val="32"/>
                  <w:szCs w:val="32"/>
                </w:rPr>
              </m:ctrlPr>
            </m:sSubPr>
            <m:e>
              <m:r>
                <w:rPr>
                  <w:rFonts w:ascii="Cambria Math" w:eastAsia="仿宋_GB2312" w:hAnsi="Cambria Math"/>
                  <w:sz w:val="32"/>
                  <w:szCs w:val="32"/>
                </w:rPr>
                <m:t>RY</m:t>
              </m:r>
            </m:e>
            <m:sub>
              <m:r>
                <w:rPr>
                  <w:rFonts w:ascii="Cambria Math" w:eastAsia="仿宋_GB2312" w:hAnsi="Cambria Math"/>
                  <w:sz w:val="32"/>
                  <w:szCs w:val="32"/>
                </w:rPr>
                <m:t>t</m:t>
              </m:r>
            </m:sub>
          </m:sSub>
          <m:r>
            <w:rPr>
              <w:rFonts w:ascii="Cambria Math" w:eastAsia="仿宋_GB2312" w:hAnsi="Cambria Math"/>
              <w:sz w:val="32"/>
              <w:szCs w:val="32"/>
            </w:rPr>
            <m:t>-</m:t>
          </m:r>
          <m:sSub>
            <m:sSubPr>
              <m:ctrlPr>
                <w:rPr>
                  <w:rFonts w:ascii="Cambria Math" w:eastAsia="仿宋_GB2312" w:hAnsi="Cambria Math"/>
                  <w:bCs/>
                  <w:i/>
                  <w:iCs/>
                  <w:sz w:val="32"/>
                  <w:szCs w:val="32"/>
                </w:rPr>
              </m:ctrlPr>
            </m:sSubPr>
            <m:e>
              <m:r>
                <w:rPr>
                  <w:rFonts w:ascii="Cambria Math" w:eastAsia="仿宋_GB2312" w:hAnsi="Cambria Math"/>
                  <w:sz w:val="32"/>
                  <w:szCs w:val="32"/>
                </w:rPr>
                <m:t>RN</m:t>
              </m:r>
            </m:e>
            <m:sub>
              <m:r>
                <w:rPr>
                  <w:rFonts w:ascii="Cambria Math" w:eastAsia="仿宋_GB2312" w:hAnsi="Cambria Math"/>
                  <w:sz w:val="32"/>
                  <w:szCs w:val="32"/>
                </w:rPr>
                <m:t>t</m:t>
              </m:r>
            </m:sub>
          </m:sSub>
        </m:oMath>
      </m:oMathPara>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式中：</w:t>
      </w:r>
    </w:p>
    <w:p w:rsidR="004C1E9A" w:rsidRDefault="000568EF" w:rsidP="004C1E9A">
      <w:pPr>
        <w:snapToGrid w:val="0"/>
        <w:spacing w:line="578" w:lineRule="exact"/>
        <w:ind w:firstLineChars="200" w:firstLine="640"/>
        <w:rPr>
          <w:rFonts w:eastAsia="仿宋_GB2312"/>
          <w:bCs/>
          <w:sz w:val="32"/>
          <w:szCs w:val="32"/>
        </w:rPr>
      </w:pPr>
      <m:oMath>
        <m:sSub>
          <m:sSubPr>
            <m:ctrlPr>
              <w:rPr>
                <w:rFonts w:ascii="Cambria Math" w:eastAsia="仿宋_GB2312" w:hAnsi="Cambria Math"/>
                <w:bCs/>
                <w:i/>
                <w:sz w:val="32"/>
                <w:szCs w:val="32"/>
              </w:rPr>
            </m:ctrlPr>
          </m:sSubPr>
          <m:e>
            <m:r>
              <w:rPr>
                <w:rFonts w:ascii="Cambria Math" w:eastAsia="仿宋_GB2312" w:hAnsi="Cambria Math"/>
                <w:sz w:val="32"/>
                <w:szCs w:val="32"/>
              </w:rPr>
              <m:t>F</m:t>
            </m:r>
          </m:e>
          <m:sub>
            <m:r>
              <w:rPr>
                <w:rFonts w:ascii="Cambria Math" w:eastAsia="仿宋_GB2312" w:hAnsi="Cambria Math"/>
                <w:sz w:val="32"/>
                <w:szCs w:val="32"/>
              </w:rPr>
              <m:t>t</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预测</w:t>
      </w:r>
      <w:r w:rsidR="004C1E9A">
        <w:rPr>
          <w:rFonts w:ascii="仿宋_GB2312" w:eastAsia="仿宋_GB2312" w:cs="微软雅黑" w:hint="eastAsia"/>
          <w:bCs/>
          <w:color w:val="000000"/>
          <w:kern w:val="0"/>
          <w:sz w:val="32"/>
          <w:szCs w:val="32"/>
        </w:rPr>
        <w:t>第</w:t>
      </w:r>
      <m:oMath>
        <m:r>
          <w:rPr>
            <w:rFonts w:ascii="Cambria Math" w:eastAsia="仿宋_GB2312" w:hAnsi="Cambria Math"/>
            <w:sz w:val="32"/>
            <w:szCs w:val="32"/>
          </w:rPr>
          <m:t xml:space="preserve">t </m:t>
        </m:r>
      </m:oMath>
      <w:r w:rsidR="004C1E9A">
        <w:rPr>
          <w:rFonts w:ascii="仿宋_GB2312" w:eastAsia="仿宋_GB2312" w:cs="微软雅黑" w:hint="eastAsia"/>
          <w:bCs/>
          <w:color w:val="000000"/>
          <w:kern w:val="0"/>
          <w:sz w:val="32"/>
          <w:szCs w:val="32"/>
        </w:rPr>
        <w:t>期</w:t>
      </w:r>
      <w:r w:rsidR="004C1E9A">
        <w:rPr>
          <w:rFonts w:eastAsia="仿宋_GB2312" w:hint="eastAsia"/>
          <w:bCs/>
          <w:sz w:val="32"/>
          <w:szCs w:val="32"/>
        </w:rPr>
        <w:t>数据资产的增量收益额；</w:t>
      </w:r>
    </w:p>
    <w:p w:rsidR="004C1E9A" w:rsidRDefault="000568EF" w:rsidP="004C1E9A">
      <w:pPr>
        <w:snapToGrid w:val="0"/>
        <w:spacing w:line="578" w:lineRule="exact"/>
        <w:ind w:firstLineChars="200" w:firstLine="640"/>
        <w:rPr>
          <w:rFonts w:eastAsia="仿宋_GB2312"/>
          <w:bCs/>
          <w:sz w:val="32"/>
          <w:szCs w:val="32"/>
        </w:rPr>
      </w:pPr>
      <m:oMath>
        <m:sSub>
          <m:sSubPr>
            <m:ctrlPr>
              <w:rPr>
                <w:rFonts w:ascii="Cambria Math" w:eastAsia="仿宋_GB2312" w:hAnsi="Cambria Math"/>
                <w:bCs/>
                <w:sz w:val="32"/>
                <w:szCs w:val="32"/>
              </w:rPr>
            </m:ctrlPr>
          </m:sSubPr>
          <m:e>
            <m:r>
              <w:rPr>
                <w:rFonts w:ascii="Cambria Math" w:eastAsia="仿宋_GB2312" w:hAnsi="Cambria Math"/>
                <w:sz w:val="32"/>
                <w:szCs w:val="32"/>
              </w:rPr>
              <m:t>RY</m:t>
            </m:r>
          </m:e>
          <m:sub>
            <m:r>
              <w:rPr>
                <w:rFonts w:ascii="Cambria Math" w:eastAsia="仿宋_GB2312" w:hAnsi="Cambria Math"/>
                <w:sz w:val="32"/>
                <w:szCs w:val="32"/>
              </w:rPr>
              <m:t>t</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预测</w:t>
      </w:r>
      <w:r w:rsidR="004C1E9A">
        <w:rPr>
          <w:rFonts w:ascii="仿宋_GB2312" w:eastAsia="仿宋_GB2312" w:cs="微软雅黑" w:hint="eastAsia"/>
          <w:bCs/>
          <w:color w:val="000000"/>
          <w:kern w:val="0"/>
          <w:sz w:val="32"/>
          <w:szCs w:val="32"/>
        </w:rPr>
        <w:t>第</w:t>
      </w:r>
      <m:oMath>
        <m:r>
          <w:rPr>
            <w:rFonts w:ascii="Cambria Math" w:eastAsia="仿宋_GB2312" w:hAnsi="Cambria Math"/>
            <w:sz w:val="32"/>
            <w:szCs w:val="32"/>
          </w:rPr>
          <m:t xml:space="preserve">t </m:t>
        </m:r>
      </m:oMath>
      <w:r w:rsidR="004C1E9A">
        <w:rPr>
          <w:rFonts w:ascii="仿宋_GB2312" w:eastAsia="仿宋_GB2312" w:cs="微软雅黑" w:hint="eastAsia"/>
          <w:bCs/>
          <w:color w:val="000000"/>
          <w:kern w:val="0"/>
          <w:sz w:val="32"/>
          <w:szCs w:val="32"/>
        </w:rPr>
        <w:t>期</w:t>
      </w:r>
      <w:r w:rsidR="004C1E9A">
        <w:rPr>
          <w:rFonts w:eastAsia="仿宋_GB2312" w:hint="eastAsia"/>
          <w:bCs/>
          <w:sz w:val="32"/>
          <w:szCs w:val="32"/>
        </w:rPr>
        <w:t>采用数据资产的息税前利润；</w:t>
      </w:r>
    </w:p>
    <w:p w:rsidR="004C1E9A" w:rsidRDefault="000568EF" w:rsidP="004C1E9A">
      <w:pPr>
        <w:snapToGrid w:val="0"/>
        <w:spacing w:line="578" w:lineRule="exact"/>
        <w:ind w:firstLineChars="200" w:firstLine="640"/>
        <w:rPr>
          <w:rFonts w:eastAsia="仿宋_GB2312"/>
          <w:bCs/>
          <w:sz w:val="32"/>
          <w:szCs w:val="32"/>
        </w:rPr>
      </w:pPr>
      <m:oMath>
        <m:sSub>
          <m:sSubPr>
            <m:ctrlPr>
              <w:rPr>
                <w:rFonts w:ascii="Cambria Math" w:eastAsia="仿宋_GB2312" w:hAnsi="Cambria Math"/>
                <w:bCs/>
                <w:i/>
                <w:sz w:val="32"/>
                <w:szCs w:val="32"/>
              </w:rPr>
            </m:ctrlPr>
          </m:sSubPr>
          <m:e>
            <m:r>
              <w:rPr>
                <w:rFonts w:ascii="Cambria Math" w:eastAsia="仿宋_GB2312" w:hAnsi="Cambria Math"/>
                <w:sz w:val="32"/>
                <w:szCs w:val="32"/>
              </w:rPr>
              <m:t>RN</m:t>
            </m:r>
          </m:e>
          <m:sub>
            <m:r>
              <w:rPr>
                <w:rFonts w:ascii="Cambria Math" w:eastAsia="仿宋_GB2312" w:hAnsi="Cambria Math"/>
                <w:sz w:val="32"/>
                <w:szCs w:val="32"/>
              </w:rPr>
              <m:t>t</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预测</w:t>
      </w:r>
      <w:r w:rsidR="004C1E9A">
        <w:rPr>
          <w:rFonts w:ascii="仿宋_GB2312" w:eastAsia="仿宋_GB2312" w:cs="微软雅黑" w:hint="eastAsia"/>
          <w:bCs/>
          <w:color w:val="000000"/>
          <w:kern w:val="0"/>
          <w:sz w:val="32"/>
          <w:szCs w:val="32"/>
        </w:rPr>
        <w:t>第</w:t>
      </w:r>
      <m:oMath>
        <m:r>
          <w:rPr>
            <w:rFonts w:ascii="Cambria Math" w:eastAsia="仿宋_GB2312" w:hAnsi="Cambria Math"/>
            <w:sz w:val="32"/>
            <w:szCs w:val="32"/>
          </w:rPr>
          <m:t xml:space="preserve">t </m:t>
        </m:r>
      </m:oMath>
      <w:r w:rsidR="004C1E9A">
        <w:rPr>
          <w:rFonts w:ascii="仿宋_GB2312" w:eastAsia="仿宋_GB2312" w:cs="微软雅黑" w:hint="eastAsia"/>
          <w:bCs/>
          <w:color w:val="000000"/>
          <w:kern w:val="0"/>
          <w:sz w:val="32"/>
          <w:szCs w:val="32"/>
        </w:rPr>
        <w:t>期</w:t>
      </w:r>
      <w:r w:rsidR="004C1E9A">
        <w:rPr>
          <w:rFonts w:eastAsia="仿宋_GB2312" w:hint="eastAsia"/>
          <w:bCs/>
          <w:sz w:val="32"/>
          <w:szCs w:val="32"/>
        </w:rPr>
        <w:t>未采用数据资产的息税前利润。</w:t>
      </w:r>
    </w:p>
    <w:p w:rsidR="004C1E9A" w:rsidRDefault="004C1E9A" w:rsidP="004C1E9A">
      <w:pPr>
        <w:snapToGrid w:val="0"/>
        <w:spacing w:line="578" w:lineRule="exact"/>
        <w:ind w:firstLineChars="200" w:firstLine="640"/>
        <w:rPr>
          <w:rFonts w:eastAsia="仿宋_GB2312"/>
          <w:bCs/>
          <w:sz w:val="32"/>
          <w:szCs w:val="32"/>
        </w:rPr>
      </w:pPr>
      <w:r>
        <w:rPr>
          <w:rFonts w:eastAsia="仿宋_GB2312"/>
          <w:bCs/>
          <w:sz w:val="32"/>
          <w:szCs w:val="32"/>
        </w:rPr>
        <w:t>3.</w:t>
      </w:r>
      <w:r>
        <w:rPr>
          <w:rFonts w:eastAsia="仿宋_GB2312" w:hint="eastAsia"/>
          <w:bCs/>
          <w:sz w:val="32"/>
          <w:szCs w:val="32"/>
        </w:rPr>
        <w:t>适用场景</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增量收益预测通常适用于以下两种情形下的数据资产评估：一是可以使应用数据资产主体产生额外的可计量的现</w:t>
      </w:r>
      <w:r>
        <w:rPr>
          <w:rFonts w:eastAsia="仿宋_GB2312" w:hint="eastAsia"/>
          <w:bCs/>
          <w:sz w:val="32"/>
          <w:szCs w:val="32"/>
        </w:rPr>
        <w:lastRenderedPageBreak/>
        <w:t>金流量或者利润的情形，如通过启用数据资产能够直接有效地开辟新业务或者赋能提高当前业务所带来的额外现金流量或者利润；二是可以使应用数据资产主体获得可计量的成本节约的情形</w:t>
      </w:r>
      <w:r>
        <w:rPr>
          <w:rFonts w:eastAsia="仿宋_GB2312"/>
          <w:bCs/>
          <w:sz w:val="32"/>
          <w:szCs w:val="32"/>
        </w:rPr>
        <w:t>，</w:t>
      </w:r>
      <w:r>
        <w:rPr>
          <w:rFonts w:eastAsia="仿宋_GB2312" w:hint="eastAsia"/>
          <w:bCs/>
          <w:sz w:val="32"/>
          <w:szCs w:val="32"/>
        </w:rPr>
        <w:t>如通过嵌入大数据分析模型带来的成本费用的降低。</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增量收益预测是假定其他资产因素不变的情况下，为获取数据资产收益预测而进行人为模拟的预测途径。在实务中，应用数据资产产生的收益是各种资产共同发挥作用的结果。资产评估专业人员应当根据实际情况，进行综合性的核查验证并合理运用数据资产的增量收益预测。</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采用收益法评估数据资产时，可以</w:t>
      </w:r>
      <w:r>
        <w:rPr>
          <w:rFonts w:eastAsia="仿宋_GB2312"/>
          <w:bCs/>
          <w:sz w:val="32"/>
          <w:szCs w:val="32"/>
        </w:rPr>
        <w:t>通过</w:t>
      </w:r>
      <w:r>
        <w:rPr>
          <w:rFonts w:eastAsia="仿宋_GB2312" w:hint="eastAsia"/>
          <w:bCs/>
          <w:sz w:val="32"/>
          <w:szCs w:val="32"/>
        </w:rPr>
        <w:t>以上四种方法获得收益预测，也可以结合数据资产的实际情况，对上述方法进行调整或者拓展。</w:t>
      </w:r>
    </w:p>
    <w:p w:rsidR="004C1E9A" w:rsidRDefault="004C1E9A" w:rsidP="004C1E9A">
      <w:pPr>
        <w:snapToGrid w:val="0"/>
        <w:spacing w:line="578" w:lineRule="exact"/>
        <w:ind w:firstLineChars="200" w:firstLine="640"/>
        <w:rPr>
          <w:rFonts w:eastAsia="黑体"/>
          <w:sz w:val="32"/>
          <w:szCs w:val="32"/>
        </w:rPr>
      </w:pPr>
      <w:r>
        <w:rPr>
          <w:rFonts w:eastAsia="黑体" w:hint="eastAsia"/>
          <w:sz w:val="32"/>
          <w:szCs w:val="32"/>
        </w:rPr>
        <w:t>二、成本法相关模型示例</w:t>
      </w:r>
    </w:p>
    <w:p w:rsidR="004C1E9A" w:rsidRDefault="004C1E9A" w:rsidP="004C1E9A">
      <w:pPr>
        <w:adjustRightInd w:val="0"/>
        <w:snapToGrid w:val="0"/>
        <w:spacing w:line="578" w:lineRule="exact"/>
        <w:jc w:val="center"/>
        <w:rPr>
          <w:rFonts w:eastAsia="仿宋_GB2312"/>
          <w:bCs/>
          <w:i/>
          <w:iCs/>
          <w:sz w:val="32"/>
          <w:szCs w:val="32"/>
        </w:rPr>
      </w:pPr>
      <m:oMathPara>
        <m:oMath>
          <m:r>
            <w:rPr>
              <w:rFonts w:ascii="Cambria Math" w:eastAsia="仿宋_GB2312" w:hAnsi="Cambria Math"/>
              <w:sz w:val="32"/>
              <w:szCs w:val="32"/>
            </w:rPr>
            <m:t>P</m:t>
          </m:r>
          <m:r>
            <m:rPr>
              <m:sty m:val="p"/>
            </m:rPr>
            <w:rPr>
              <w:rFonts w:ascii="Cambria Math" w:eastAsia="仿宋_GB2312" w:hAnsi="Cambria Math"/>
              <w:sz w:val="32"/>
              <w:szCs w:val="32"/>
            </w:rPr>
            <m:t>=</m:t>
          </m:r>
          <m:r>
            <w:rPr>
              <w:rFonts w:ascii="Cambria Math" w:eastAsia="仿宋_GB2312" w:hAnsi="Cambria Math"/>
              <w:sz w:val="32"/>
              <w:szCs w:val="32"/>
            </w:rPr>
            <m:t>C</m:t>
          </m:r>
          <m:r>
            <w:rPr>
              <w:rFonts w:ascii="Cambria Math" w:eastAsia="仿宋_GB2312" w:hAnsi="Cambria Math" w:hint="eastAsia"/>
              <w:sz w:val="32"/>
              <w:szCs w:val="32"/>
            </w:rPr>
            <m:t>×</m:t>
          </m:r>
          <m:r>
            <w:rPr>
              <w:rFonts w:ascii="Cambria Math" w:eastAsia="仿宋_GB2312" w:hAnsi="Cambria Math"/>
              <w:sz w:val="32"/>
              <w:szCs w:val="32"/>
            </w:rPr>
            <m:t>δ</m:t>
          </m:r>
        </m:oMath>
      </m:oMathPara>
    </w:p>
    <w:p w:rsidR="004C1E9A" w:rsidRDefault="004C1E9A" w:rsidP="004C1E9A">
      <w:pPr>
        <w:pStyle w:val="a5"/>
        <w:adjustRightInd w:val="0"/>
        <w:snapToGrid w:val="0"/>
        <w:spacing w:line="578" w:lineRule="exact"/>
        <w:ind w:firstLine="640"/>
        <w:rPr>
          <w:rFonts w:ascii="Times New Roman" w:eastAsia="仿宋_GB2312"/>
          <w:bCs/>
          <w:kern w:val="2"/>
          <w:sz w:val="32"/>
          <w:szCs w:val="32"/>
        </w:rPr>
      </w:pPr>
      <w:r>
        <w:rPr>
          <w:rFonts w:ascii="Times New Roman" w:eastAsia="仿宋_GB2312" w:hint="eastAsia"/>
          <w:bCs/>
          <w:kern w:val="2"/>
          <w:sz w:val="32"/>
          <w:szCs w:val="32"/>
        </w:rPr>
        <w:t>式中：</w:t>
      </w:r>
    </w:p>
    <w:p w:rsidR="004C1E9A" w:rsidRDefault="004C1E9A" w:rsidP="004C1E9A">
      <w:pPr>
        <w:snapToGrid w:val="0"/>
        <w:spacing w:line="578" w:lineRule="exact"/>
        <w:ind w:firstLineChars="200" w:firstLine="640"/>
        <w:rPr>
          <w:rFonts w:eastAsia="仿宋_GB2312"/>
          <w:bCs/>
          <w:sz w:val="32"/>
          <w:szCs w:val="32"/>
        </w:rPr>
      </w:pPr>
      <m:oMath>
        <m:r>
          <w:rPr>
            <w:rFonts w:ascii="Cambria Math" w:eastAsia="仿宋_GB2312" w:hAnsi="Cambria Math"/>
            <w:sz w:val="32"/>
            <w:szCs w:val="32"/>
          </w:rPr>
          <m:t>P</m:t>
        </m:r>
      </m:oMath>
      <w:r w:rsidRPr="00287284">
        <w:rPr>
          <w:rFonts w:ascii="华文中宋" w:eastAsia="华文中宋" w:hAnsi="华文中宋" w:hint="eastAsia"/>
          <w:bCs/>
          <w:sz w:val="32"/>
          <w:szCs w:val="32"/>
        </w:rPr>
        <w:t>——</w:t>
      </w:r>
      <w:r>
        <w:rPr>
          <w:rFonts w:eastAsia="仿宋_GB2312" w:hint="eastAsia"/>
          <w:bCs/>
          <w:sz w:val="32"/>
          <w:szCs w:val="32"/>
        </w:rPr>
        <w:t>被评估数据资产价值；</w:t>
      </w:r>
    </w:p>
    <w:p w:rsidR="004C1E9A" w:rsidRDefault="004C1E9A" w:rsidP="004C1E9A">
      <w:pPr>
        <w:pStyle w:val="a4"/>
        <w:snapToGrid w:val="0"/>
        <w:spacing w:line="578" w:lineRule="exact"/>
        <w:ind w:firstLine="640"/>
        <w:rPr>
          <w:rFonts w:eastAsia="仿宋_GB2312"/>
          <w:bCs/>
          <w:sz w:val="32"/>
          <w:szCs w:val="32"/>
        </w:rPr>
      </w:pPr>
      <m:oMath>
        <m:r>
          <w:rPr>
            <w:rFonts w:ascii="Cambria Math" w:eastAsia="仿宋_GB2312" w:hAnsi="Cambria Math"/>
            <w:sz w:val="32"/>
            <w:szCs w:val="32"/>
          </w:rPr>
          <m:t>C</m:t>
        </m:r>
      </m:oMath>
      <w:r w:rsidRPr="00287284">
        <w:rPr>
          <w:rFonts w:ascii="华文中宋" w:eastAsia="华文中宋" w:hAnsi="华文中宋" w:hint="eastAsia"/>
          <w:bCs/>
          <w:sz w:val="32"/>
          <w:szCs w:val="32"/>
        </w:rPr>
        <w:t>——</w:t>
      </w:r>
      <w:r>
        <w:rPr>
          <w:rFonts w:eastAsia="仿宋_GB2312" w:hint="eastAsia"/>
          <w:bCs/>
          <w:sz w:val="32"/>
          <w:szCs w:val="32"/>
        </w:rPr>
        <w:t>数据资产的重置成本，主要包括</w:t>
      </w:r>
      <w:r>
        <w:rPr>
          <w:rFonts w:eastAsia="仿宋_GB2312"/>
          <w:bCs/>
          <w:sz w:val="32"/>
          <w:szCs w:val="32"/>
        </w:rPr>
        <w:t>前期费用、直接成本、间接成本、机会成本和相关税费等。</w:t>
      </w:r>
      <w:r>
        <w:rPr>
          <w:rFonts w:eastAsia="仿宋_GB2312" w:hint="eastAsia"/>
          <w:bCs/>
          <w:sz w:val="32"/>
          <w:szCs w:val="32"/>
        </w:rPr>
        <w:t>前期费用包括前期规划成本，直接成本包括</w:t>
      </w:r>
      <w:r>
        <w:rPr>
          <w:rFonts w:eastAsia="仿宋_GB2312"/>
          <w:bCs/>
          <w:sz w:val="32"/>
          <w:szCs w:val="32"/>
        </w:rPr>
        <w:t>数据从采集至加工形成资产</w:t>
      </w:r>
      <w:r>
        <w:rPr>
          <w:rFonts w:eastAsia="仿宋_GB2312" w:hint="eastAsia"/>
          <w:bCs/>
          <w:sz w:val="32"/>
          <w:szCs w:val="32"/>
        </w:rPr>
        <w:t>过程</w:t>
      </w:r>
      <w:r>
        <w:rPr>
          <w:rFonts w:eastAsia="仿宋_GB2312"/>
          <w:bCs/>
          <w:sz w:val="32"/>
          <w:szCs w:val="32"/>
        </w:rPr>
        <w:t>中</w:t>
      </w:r>
      <w:r>
        <w:rPr>
          <w:rFonts w:eastAsia="仿宋_GB2312" w:hint="eastAsia"/>
          <w:bCs/>
          <w:sz w:val="32"/>
          <w:szCs w:val="32"/>
        </w:rPr>
        <w:t>持续投入的成本，间接成本包括与数据资产直接相关的或者可以进行合理分摊的软硬件采购、基础设施成本及公共管理成本；</w:t>
      </w:r>
    </w:p>
    <w:p w:rsidR="004C1E9A" w:rsidRDefault="004C1E9A" w:rsidP="004C1E9A">
      <w:pPr>
        <w:snapToGrid w:val="0"/>
        <w:spacing w:line="578" w:lineRule="exact"/>
        <w:ind w:firstLineChars="200" w:firstLine="640"/>
        <w:rPr>
          <w:rFonts w:eastAsia="仿宋_GB2312"/>
          <w:bCs/>
          <w:sz w:val="32"/>
          <w:szCs w:val="32"/>
        </w:rPr>
      </w:pPr>
      <m:oMath>
        <m:r>
          <w:rPr>
            <w:rFonts w:ascii="Cambria Math" w:eastAsia="仿宋_GB2312" w:hAnsi="Cambria Math"/>
            <w:sz w:val="32"/>
            <w:szCs w:val="32"/>
          </w:rPr>
          <m:t>δ</m:t>
        </m:r>
      </m:oMath>
      <w:r w:rsidRPr="00287284">
        <w:rPr>
          <w:rFonts w:ascii="华文中宋" w:eastAsia="华文中宋" w:hAnsi="华文中宋" w:hint="eastAsia"/>
          <w:bCs/>
          <w:sz w:val="32"/>
          <w:szCs w:val="32"/>
        </w:rPr>
        <w:t>——</w:t>
      </w:r>
      <w:r>
        <w:rPr>
          <w:rFonts w:eastAsia="仿宋_GB2312" w:hint="eastAsia"/>
          <w:bCs/>
          <w:sz w:val="32"/>
          <w:szCs w:val="32"/>
        </w:rPr>
        <w:t>价值调整系数。价值调整系数是对数据资产全部</w:t>
      </w:r>
      <w:r>
        <w:rPr>
          <w:rFonts w:eastAsia="仿宋_GB2312" w:hint="eastAsia"/>
          <w:bCs/>
          <w:sz w:val="32"/>
          <w:szCs w:val="32"/>
        </w:rPr>
        <w:lastRenderedPageBreak/>
        <w:t>投入对应的期望状况与评估基准日数据资产实际状况之间所存在的差异进行调整的系数，例如：对数据资产期望质量与实际质量之间的差异等进行调整的系数。</w:t>
      </w:r>
    </w:p>
    <w:p w:rsidR="004C1E9A" w:rsidRDefault="004C1E9A" w:rsidP="004C1E9A">
      <w:pPr>
        <w:snapToGrid w:val="0"/>
        <w:spacing w:line="578" w:lineRule="exact"/>
        <w:ind w:firstLineChars="200" w:firstLine="640"/>
        <w:rPr>
          <w:rFonts w:eastAsia="黑体"/>
          <w:sz w:val="32"/>
          <w:szCs w:val="32"/>
        </w:rPr>
      </w:pPr>
      <w:r>
        <w:rPr>
          <w:rFonts w:eastAsia="黑体" w:hint="eastAsia"/>
          <w:sz w:val="32"/>
          <w:szCs w:val="32"/>
        </w:rPr>
        <w:t>三、市场法相关模型示例</w:t>
      </w:r>
    </w:p>
    <w:p w:rsidR="004C1E9A" w:rsidRDefault="004C1E9A" w:rsidP="004C1E9A">
      <w:pPr>
        <w:snapToGrid w:val="0"/>
        <w:spacing w:line="578" w:lineRule="exact"/>
        <w:ind w:firstLineChars="200" w:firstLine="640"/>
        <w:rPr>
          <w:rFonts w:eastAsia="楷体_GB2312"/>
          <w:bCs/>
          <w:sz w:val="32"/>
          <w:szCs w:val="32"/>
        </w:rPr>
      </w:pPr>
      <w:r>
        <w:rPr>
          <w:rFonts w:eastAsia="楷体_GB2312" w:hint="eastAsia"/>
          <w:bCs/>
          <w:sz w:val="32"/>
          <w:szCs w:val="32"/>
        </w:rPr>
        <w:t>（一）模型</w:t>
      </w:r>
    </w:p>
    <w:p w:rsidR="004C1E9A" w:rsidRDefault="004C1E9A" w:rsidP="004C1E9A">
      <w:pPr>
        <w:snapToGrid w:val="0"/>
        <w:spacing w:line="578" w:lineRule="exact"/>
        <w:ind w:firstLineChars="200" w:firstLine="640"/>
        <w:rPr>
          <w:rFonts w:eastAsia="仿宋_GB2312"/>
          <w:bCs/>
          <w:sz w:val="32"/>
          <w:szCs w:val="32"/>
        </w:rPr>
      </w:pPr>
      <w:r>
        <w:rPr>
          <w:rFonts w:eastAsia="仿宋_GB2312" w:hint="eastAsia"/>
          <w:bCs/>
          <w:sz w:val="32"/>
          <w:szCs w:val="32"/>
        </w:rPr>
        <w:t>市场法可以采用分解成数据集后与参照数据集进行对比调整的方式，具体模型如下：</w:t>
      </w:r>
    </w:p>
    <w:p w:rsidR="004C1E9A" w:rsidRDefault="004C1E9A" w:rsidP="00F6052E">
      <w:pPr>
        <w:snapToGrid w:val="0"/>
        <w:spacing w:beforeLines="50" w:afterLines="50" w:line="578" w:lineRule="exact"/>
        <w:jc w:val="center"/>
        <w:rPr>
          <w:rFonts w:eastAsia="仿宋_GB2312"/>
          <w:bCs/>
          <w:sz w:val="32"/>
          <w:szCs w:val="32"/>
        </w:rPr>
      </w:pPr>
      <m:oMathPara>
        <m:oMathParaPr>
          <m:jc m:val="center"/>
        </m:oMathParaPr>
        <m:oMath>
          <m:r>
            <w:rPr>
              <w:rFonts w:ascii="Cambria Math" w:eastAsia="仿宋_GB2312" w:hAnsi="Cambria Math"/>
              <w:sz w:val="32"/>
              <w:szCs w:val="32"/>
            </w:rPr>
            <m:t>P</m:t>
          </m:r>
          <m:r>
            <m:rPr>
              <m:sty m:val="p"/>
            </m:rPr>
            <w:rPr>
              <w:rFonts w:ascii="Cambria Math" w:eastAsia="仿宋_GB2312" w:hAnsi="Cambria Math"/>
              <w:sz w:val="32"/>
              <w:szCs w:val="32"/>
            </w:rPr>
            <m:t>=</m:t>
          </m:r>
          <m:nary>
            <m:naryPr>
              <m:chr m:val="∑"/>
              <m:limLoc m:val="subSup"/>
              <m:ctrlPr>
                <w:rPr>
                  <w:rFonts w:ascii="Cambria Math" w:eastAsia="仿宋_GB2312" w:hAnsi="Cambria Math"/>
                  <w:bCs/>
                  <w:sz w:val="32"/>
                  <w:szCs w:val="32"/>
                </w:rPr>
              </m:ctrlPr>
            </m:naryPr>
            <m:sub>
              <w:bookmarkStart w:id="0" w:name="_Hlk141889063"/>
              <m:r>
                <w:rPr>
                  <w:rFonts w:ascii="Cambria Math" w:eastAsia="仿宋_GB2312" w:hAnsi="Cambria Math"/>
                  <w:sz w:val="32"/>
                  <w:szCs w:val="32"/>
                </w:rPr>
                <m:t>i</m:t>
              </m:r>
              <m:r>
                <m:rPr>
                  <m:sty m:val="p"/>
                </m:rPr>
                <w:rPr>
                  <w:rFonts w:ascii="Cambria Math" w:eastAsia="仿宋_GB2312" w:hAnsi="Cambria Math"/>
                  <w:sz w:val="32"/>
                  <w:szCs w:val="32"/>
                </w:rPr>
                <m:t>=1</m:t>
              </m:r>
              <w:bookmarkEnd w:id="0"/>
            </m:sub>
            <m:sup>
              <m:r>
                <w:rPr>
                  <w:rFonts w:ascii="Cambria Math" w:eastAsia="仿宋_GB2312" w:hAnsi="Cambria Math"/>
                  <w:sz w:val="32"/>
                  <w:szCs w:val="32"/>
                </w:rPr>
                <m:t>n</m:t>
              </m:r>
            </m:sup>
            <m:e>
              <m:r>
                <m:rPr>
                  <m:sty m:val="p"/>
                </m:rPr>
                <w:rPr>
                  <w:rFonts w:ascii="Cambria Math" w:eastAsia="仿宋_GB2312" w:hAnsi="Cambria Math"/>
                  <w:sz w:val="32"/>
                  <w:szCs w:val="32"/>
                </w:rPr>
                <m:t>(</m:t>
              </m:r>
              <m:sSub>
                <m:sSubPr>
                  <m:ctrlPr>
                    <w:rPr>
                      <w:rFonts w:ascii="Cambria Math" w:eastAsia="仿宋_GB2312" w:hAnsi="Cambria Math"/>
                      <w:bCs/>
                      <w:sz w:val="32"/>
                      <w:szCs w:val="32"/>
                    </w:rPr>
                  </m:ctrlPr>
                </m:sSubPr>
                <m:e>
                  <m:r>
                    <w:rPr>
                      <w:rFonts w:ascii="Cambria Math" w:eastAsia="仿宋_GB2312" w:hAnsi="Cambria Math"/>
                      <w:sz w:val="32"/>
                      <w:szCs w:val="32"/>
                    </w:rPr>
                    <m:t>Q</m:t>
                  </m:r>
                </m:e>
                <m:sub>
                  <m:r>
                    <w:rPr>
                      <w:rFonts w:ascii="Cambria Math" w:eastAsia="仿宋_GB2312" w:hAnsi="Cambria Math"/>
                      <w:sz w:val="32"/>
                      <w:szCs w:val="32"/>
                    </w:rPr>
                    <m:t>i</m:t>
                  </m:r>
                </m:sub>
              </m:sSub>
              <m:r>
                <m:rPr>
                  <m:sty m:val="p"/>
                </m:rPr>
                <w:rPr>
                  <w:rFonts w:ascii="Cambria Math" w:eastAsia="仿宋_GB2312" w:hAnsi="Cambria Math" w:hint="eastAsia"/>
                  <w:sz w:val="32"/>
                  <w:szCs w:val="32"/>
                </w:rPr>
                <m:t>×</m:t>
              </m:r>
              <m:sSub>
                <m:sSubPr>
                  <m:ctrlPr>
                    <w:rPr>
                      <w:rFonts w:ascii="Cambria Math" w:eastAsia="仿宋_GB2312" w:hAnsi="Cambria Math"/>
                      <w:bCs/>
                      <w:sz w:val="32"/>
                      <w:szCs w:val="32"/>
                    </w:rPr>
                  </m:ctrlPr>
                </m:sSubPr>
                <m:e>
                  <m:r>
                    <w:rPr>
                      <w:rFonts w:ascii="Cambria Math" w:eastAsia="仿宋_GB2312" w:hAnsi="Cambria Math"/>
                      <w:sz w:val="32"/>
                      <w:szCs w:val="32"/>
                    </w:rPr>
                    <m:t>X</m:t>
                  </m:r>
                </m:e>
                <m:sub>
                  <m:r>
                    <w:rPr>
                      <w:rFonts w:ascii="Cambria Math" w:eastAsia="仿宋_GB2312" w:hAnsi="Cambria Math"/>
                      <w:sz w:val="32"/>
                      <w:szCs w:val="32"/>
                    </w:rPr>
                    <m:t>i</m:t>
                  </m:r>
                  <m:r>
                    <m:rPr>
                      <m:sty m:val="p"/>
                    </m:rPr>
                    <w:rPr>
                      <w:rFonts w:ascii="Cambria Math" w:eastAsia="仿宋_GB2312" w:hAnsi="Cambria Math"/>
                      <w:sz w:val="32"/>
                      <w:szCs w:val="32"/>
                    </w:rPr>
                    <m:t>1</m:t>
                  </m:r>
                </m:sub>
              </m:sSub>
              <m:r>
                <m:rPr>
                  <m:sty m:val="p"/>
                </m:rPr>
                <w:rPr>
                  <w:rFonts w:ascii="Cambria Math" w:eastAsia="仿宋_GB2312" w:hAnsi="Cambria Math" w:hint="eastAsia"/>
                  <w:sz w:val="32"/>
                  <w:szCs w:val="32"/>
                </w:rPr>
                <m:t>×</m:t>
              </m:r>
              <m:sSub>
                <m:sSubPr>
                  <m:ctrlPr>
                    <w:rPr>
                      <w:rFonts w:ascii="Cambria Math" w:eastAsia="仿宋_GB2312" w:hAnsi="Cambria Math"/>
                      <w:bCs/>
                      <w:sz w:val="32"/>
                      <w:szCs w:val="32"/>
                    </w:rPr>
                  </m:ctrlPr>
                </m:sSubPr>
                <m:e>
                  <m:r>
                    <w:rPr>
                      <w:rFonts w:ascii="Cambria Math" w:eastAsia="仿宋_GB2312" w:hAnsi="Cambria Math"/>
                      <w:sz w:val="32"/>
                      <w:szCs w:val="32"/>
                    </w:rPr>
                    <m:t>X</m:t>
                  </m:r>
                </m:e>
                <m:sub>
                  <m:r>
                    <w:rPr>
                      <w:rFonts w:ascii="Cambria Math" w:eastAsia="仿宋_GB2312" w:hAnsi="Cambria Math"/>
                      <w:sz w:val="32"/>
                      <w:szCs w:val="32"/>
                    </w:rPr>
                    <m:t>i</m:t>
                  </m:r>
                  <m:r>
                    <m:rPr>
                      <m:sty m:val="p"/>
                    </m:rPr>
                    <w:rPr>
                      <w:rFonts w:ascii="Cambria Math" w:eastAsia="仿宋_GB2312" w:hAnsi="Cambria Math"/>
                      <w:sz w:val="32"/>
                      <w:szCs w:val="32"/>
                    </w:rPr>
                    <m:t>2</m:t>
                  </m:r>
                </m:sub>
              </m:sSub>
              <m:r>
                <m:rPr>
                  <m:sty m:val="p"/>
                </m:rPr>
                <w:rPr>
                  <w:rFonts w:ascii="Cambria Math" w:eastAsia="仿宋_GB2312" w:hAnsi="Cambria Math" w:hint="eastAsia"/>
                  <w:sz w:val="32"/>
                  <w:szCs w:val="32"/>
                </w:rPr>
                <m:t>×</m:t>
              </m:r>
              <m:sSub>
                <m:sSubPr>
                  <m:ctrlPr>
                    <w:rPr>
                      <w:rFonts w:ascii="Cambria Math" w:eastAsia="仿宋_GB2312" w:hAnsi="Cambria Math"/>
                      <w:bCs/>
                      <w:sz w:val="32"/>
                      <w:szCs w:val="32"/>
                    </w:rPr>
                  </m:ctrlPr>
                </m:sSubPr>
                <m:e>
                  <m:r>
                    <w:rPr>
                      <w:rFonts w:ascii="Cambria Math" w:eastAsia="仿宋_GB2312" w:hAnsi="Cambria Math"/>
                      <w:sz w:val="32"/>
                      <w:szCs w:val="32"/>
                    </w:rPr>
                    <m:t>X</m:t>
                  </m:r>
                </m:e>
                <m:sub>
                  <m:r>
                    <w:rPr>
                      <w:rFonts w:ascii="Cambria Math" w:eastAsia="仿宋_GB2312" w:hAnsi="Cambria Math"/>
                      <w:sz w:val="32"/>
                      <w:szCs w:val="32"/>
                    </w:rPr>
                    <m:t>i</m:t>
                  </m:r>
                  <m:r>
                    <m:rPr>
                      <m:sty m:val="p"/>
                    </m:rPr>
                    <w:rPr>
                      <w:rFonts w:ascii="Cambria Math" w:eastAsia="仿宋_GB2312" w:hAnsi="Cambria Math"/>
                      <w:sz w:val="32"/>
                      <w:szCs w:val="32"/>
                    </w:rPr>
                    <m:t>3</m:t>
                  </m:r>
                </m:sub>
              </m:sSub>
              <m:r>
                <m:rPr>
                  <m:sty m:val="p"/>
                </m:rPr>
                <w:rPr>
                  <w:rFonts w:ascii="Cambria Math" w:eastAsia="仿宋_GB2312" w:hAnsi="Cambria Math" w:hint="eastAsia"/>
                  <w:sz w:val="32"/>
                  <w:szCs w:val="32"/>
                </w:rPr>
                <m:t>×</m:t>
              </m:r>
              <m:sSub>
                <m:sSubPr>
                  <m:ctrlPr>
                    <w:rPr>
                      <w:rFonts w:ascii="Cambria Math" w:eastAsia="仿宋_GB2312" w:hAnsi="Cambria Math"/>
                      <w:bCs/>
                      <w:sz w:val="32"/>
                      <w:szCs w:val="32"/>
                    </w:rPr>
                  </m:ctrlPr>
                </m:sSubPr>
                <m:e>
                  <m:r>
                    <w:rPr>
                      <w:rFonts w:ascii="Cambria Math" w:eastAsia="仿宋_GB2312" w:hAnsi="Cambria Math"/>
                      <w:sz w:val="32"/>
                      <w:szCs w:val="32"/>
                    </w:rPr>
                    <m:t>X</m:t>
                  </m:r>
                </m:e>
                <m:sub>
                  <m:r>
                    <w:rPr>
                      <w:rFonts w:ascii="Cambria Math" w:eastAsia="仿宋_GB2312" w:hAnsi="Cambria Math"/>
                      <w:sz w:val="32"/>
                      <w:szCs w:val="32"/>
                    </w:rPr>
                    <m:t>i</m:t>
                  </m:r>
                  <m:r>
                    <m:rPr>
                      <m:sty m:val="p"/>
                    </m:rPr>
                    <w:rPr>
                      <w:rFonts w:ascii="Cambria Math" w:eastAsia="仿宋_GB2312" w:hAnsi="Cambria Math"/>
                      <w:sz w:val="32"/>
                      <w:szCs w:val="32"/>
                    </w:rPr>
                    <m:t>4</m:t>
                  </m:r>
                </m:sub>
              </m:sSub>
              <m:r>
                <m:rPr>
                  <m:sty m:val="p"/>
                </m:rPr>
                <w:rPr>
                  <w:rFonts w:ascii="Cambria Math" w:eastAsia="仿宋_GB2312" w:hAnsi="Cambria Math" w:hint="eastAsia"/>
                  <w:sz w:val="32"/>
                  <w:szCs w:val="32"/>
                </w:rPr>
                <m:t>×</m:t>
              </m:r>
              <m:sSub>
                <m:sSubPr>
                  <m:ctrlPr>
                    <w:rPr>
                      <w:rFonts w:ascii="Cambria Math" w:eastAsia="仿宋_GB2312" w:hAnsi="Cambria Math"/>
                      <w:bCs/>
                      <w:sz w:val="32"/>
                      <w:szCs w:val="32"/>
                    </w:rPr>
                  </m:ctrlPr>
                </m:sSubPr>
                <m:e>
                  <m:r>
                    <w:rPr>
                      <w:rFonts w:ascii="Cambria Math" w:eastAsia="仿宋_GB2312" w:hAnsi="Cambria Math"/>
                      <w:sz w:val="32"/>
                      <w:szCs w:val="32"/>
                    </w:rPr>
                    <m:t>X</m:t>
                  </m:r>
                </m:e>
                <m:sub>
                  <m:r>
                    <w:rPr>
                      <w:rFonts w:ascii="Cambria Math" w:eastAsia="仿宋_GB2312" w:hAnsi="Cambria Math"/>
                      <w:sz w:val="32"/>
                      <w:szCs w:val="32"/>
                    </w:rPr>
                    <m:t>i</m:t>
                  </m:r>
                  <m:r>
                    <m:rPr>
                      <m:sty m:val="p"/>
                    </m:rPr>
                    <w:rPr>
                      <w:rFonts w:ascii="Cambria Math" w:eastAsia="仿宋_GB2312" w:hAnsi="Cambria Math"/>
                      <w:sz w:val="32"/>
                      <w:szCs w:val="32"/>
                    </w:rPr>
                    <m:t>5</m:t>
                  </m:r>
                </m:sub>
              </m:sSub>
              <m:r>
                <m:rPr>
                  <m:sty m:val="p"/>
                </m:rPr>
                <w:rPr>
                  <w:rFonts w:ascii="Cambria Math" w:eastAsia="仿宋_GB2312" w:hAnsi="Cambria Math"/>
                  <w:sz w:val="32"/>
                  <w:szCs w:val="32"/>
                </w:rPr>
                <m:t>)</m:t>
              </m:r>
            </m:e>
          </m:nary>
        </m:oMath>
      </m:oMathPara>
    </w:p>
    <w:p w:rsidR="004C1E9A" w:rsidRDefault="004C1E9A" w:rsidP="004C1E9A">
      <w:pPr>
        <w:pStyle w:val="a5"/>
        <w:adjustRightInd w:val="0"/>
        <w:snapToGrid w:val="0"/>
        <w:spacing w:line="578" w:lineRule="exact"/>
        <w:ind w:firstLine="640"/>
        <w:rPr>
          <w:rFonts w:ascii="Times New Roman" w:eastAsia="仿宋_GB2312"/>
          <w:bCs/>
          <w:kern w:val="2"/>
          <w:sz w:val="32"/>
          <w:szCs w:val="32"/>
        </w:rPr>
      </w:pPr>
      <w:r>
        <w:rPr>
          <w:rFonts w:ascii="Times New Roman" w:eastAsia="仿宋_GB2312" w:hint="eastAsia"/>
          <w:bCs/>
          <w:kern w:val="2"/>
          <w:sz w:val="32"/>
          <w:szCs w:val="32"/>
        </w:rPr>
        <w:t>式中：</w:t>
      </w:r>
    </w:p>
    <w:p w:rsidR="004C1E9A" w:rsidRDefault="004C1E9A" w:rsidP="004C1E9A">
      <w:pPr>
        <w:adjustRightInd w:val="0"/>
        <w:snapToGrid w:val="0"/>
        <w:spacing w:line="578" w:lineRule="exact"/>
        <w:ind w:firstLineChars="200" w:firstLine="640"/>
        <w:rPr>
          <w:rFonts w:eastAsia="仿宋_GB2312"/>
          <w:bCs/>
          <w:sz w:val="32"/>
          <w:szCs w:val="32"/>
        </w:rPr>
      </w:pPr>
      <m:oMath>
        <m:r>
          <w:rPr>
            <w:rFonts w:ascii="Cambria Math" w:eastAsia="仿宋_GB2312" w:hAnsi="Cambria Math"/>
            <w:sz w:val="32"/>
            <w:szCs w:val="32"/>
          </w:rPr>
          <m:t>P</m:t>
        </m:r>
      </m:oMath>
      <w:r w:rsidRPr="00287284">
        <w:rPr>
          <w:rFonts w:ascii="华文中宋" w:eastAsia="华文中宋" w:hAnsi="华文中宋" w:hint="eastAsia"/>
          <w:bCs/>
          <w:sz w:val="32"/>
          <w:szCs w:val="32"/>
        </w:rPr>
        <w:t>——</w:t>
      </w:r>
      <w:r>
        <w:rPr>
          <w:rFonts w:eastAsia="仿宋_GB2312" w:hint="eastAsia"/>
          <w:bCs/>
          <w:sz w:val="32"/>
          <w:szCs w:val="32"/>
        </w:rPr>
        <w:t>被评估数据资产价值；</w:t>
      </w:r>
    </w:p>
    <w:p w:rsidR="004C1E9A" w:rsidRDefault="004C1E9A" w:rsidP="004C1E9A">
      <w:pPr>
        <w:adjustRightInd w:val="0"/>
        <w:snapToGrid w:val="0"/>
        <w:spacing w:line="578" w:lineRule="exact"/>
        <w:ind w:firstLineChars="200" w:firstLine="640"/>
        <w:rPr>
          <w:rFonts w:eastAsia="仿宋_GB2312"/>
          <w:bCs/>
          <w:sz w:val="32"/>
          <w:szCs w:val="32"/>
        </w:rPr>
      </w:pPr>
      <m:oMath>
        <m:r>
          <w:rPr>
            <w:rFonts w:ascii="Cambria Math" w:eastAsia="仿宋_GB2312" w:hAnsi="Cambria Math"/>
            <w:sz w:val="32"/>
            <w:szCs w:val="32"/>
          </w:rPr>
          <m:t>n</m:t>
        </m:r>
      </m:oMath>
      <w:r w:rsidRPr="00287284">
        <w:rPr>
          <w:rFonts w:ascii="华文中宋" w:eastAsia="华文中宋" w:hAnsi="华文中宋" w:hint="eastAsia"/>
          <w:bCs/>
          <w:sz w:val="32"/>
          <w:szCs w:val="32"/>
        </w:rPr>
        <w:t>——</w:t>
      </w:r>
      <w:r>
        <w:rPr>
          <w:rFonts w:eastAsia="仿宋_GB2312" w:hint="eastAsia"/>
          <w:bCs/>
          <w:sz w:val="32"/>
          <w:szCs w:val="32"/>
        </w:rPr>
        <w:t>被评估数据资产所分解成的数据集的个数；</w:t>
      </w:r>
    </w:p>
    <w:p w:rsidR="004C1E9A" w:rsidRDefault="004C1E9A" w:rsidP="004C1E9A">
      <w:pPr>
        <w:adjustRightInd w:val="0"/>
        <w:snapToGrid w:val="0"/>
        <w:spacing w:line="578" w:lineRule="exact"/>
        <w:ind w:firstLineChars="200" w:firstLine="640"/>
        <w:rPr>
          <w:rFonts w:eastAsia="仿宋_GB2312"/>
          <w:bCs/>
          <w:sz w:val="32"/>
          <w:szCs w:val="32"/>
        </w:rPr>
      </w:pPr>
      <m:oMath>
        <m:r>
          <w:rPr>
            <w:rFonts w:ascii="Cambria Math" w:eastAsia="仿宋_GB2312" w:hAnsi="Cambria Math"/>
            <w:sz w:val="32"/>
            <w:szCs w:val="32"/>
          </w:rPr>
          <m:t>i</m:t>
        </m:r>
      </m:oMath>
      <w:r w:rsidRPr="00287284">
        <w:rPr>
          <w:rFonts w:ascii="华文中宋" w:eastAsia="华文中宋" w:hAnsi="华文中宋" w:hint="eastAsia"/>
          <w:bCs/>
          <w:sz w:val="32"/>
          <w:szCs w:val="32"/>
        </w:rPr>
        <w:t>——</w:t>
      </w:r>
      <w:r>
        <w:rPr>
          <w:rFonts w:eastAsia="仿宋_GB2312" w:hint="eastAsia"/>
          <w:bCs/>
          <w:sz w:val="32"/>
          <w:szCs w:val="32"/>
        </w:rPr>
        <w:t>被评估数据资产所分解成的数据集的序号；</w:t>
      </w:r>
    </w:p>
    <w:p w:rsidR="004C1E9A" w:rsidRDefault="000568EF" w:rsidP="004C1E9A">
      <w:pPr>
        <w:adjustRightInd w:val="0"/>
        <w:snapToGrid w:val="0"/>
        <w:spacing w:line="578" w:lineRule="exact"/>
        <w:ind w:firstLineChars="200" w:firstLine="640"/>
        <w:rPr>
          <w:rFonts w:eastAsia="仿宋_GB2312"/>
          <w:bCs/>
          <w:sz w:val="32"/>
          <w:szCs w:val="32"/>
        </w:rPr>
      </w:pPr>
      <m:oMath>
        <m:sSub>
          <m:sSubPr>
            <m:ctrlPr>
              <w:rPr>
                <w:rFonts w:ascii="Cambria Math" w:eastAsia="仿宋_GB2312" w:hAnsi="Cambria Math"/>
                <w:bCs/>
                <w:sz w:val="32"/>
                <w:szCs w:val="32"/>
              </w:rPr>
            </m:ctrlPr>
          </m:sSubPr>
          <m:e>
            <m:r>
              <w:rPr>
                <w:rFonts w:ascii="Cambria Math" w:eastAsia="仿宋_GB2312" w:hAnsi="Cambria Math"/>
                <w:sz w:val="32"/>
                <w:szCs w:val="32"/>
              </w:rPr>
              <m:t>Q</m:t>
            </m:r>
          </m:e>
          <m:sub>
            <m:r>
              <w:rPr>
                <w:rFonts w:ascii="Cambria Math" w:eastAsia="仿宋_GB2312" w:hAnsi="Cambria Math"/>
                <w:sz w:val="32"/>
                <w:szCs w:val="32"/>
              </w:rPr>
              <m:t>i</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参照数据集的价值；</w:t>
      </w:r>
    </w:p>
    <w:p w:rsidR="004C1E9A" w:rsidRDefault="000568EF" w:rsidP="004C1E9A">
      <w:pPr>
        <w:adjustRightInd w:val="0"/>
        <w:snapToGrid w:val="0"/>
        <w:spacing w:line="578" w:lineRule="exact"/>
        <w:ind w:firstLineChars="200" w:firstLine="640"/>
        <w:rPr>
          <w:rFonts w:eastAsia="仿宋_GB2312"/>
          <w:bCs/>
          <w:sz w:val="32"/>
          <w:szCs w:val="32"/>
        </w:rPr>
      </w:pPr>
      <m:oMath>
        <m:sSub>
          <m:sSubPr>
            <m:ctrlPr>
              <w:rPr>
                <w:rFonts w:ascii="Cambria Math" w:eastAsia="仿宋_GB2312" w:hAnsi="Cambria Math"/>
                <w:bCs/>
                <w:sz w:val="32"/>
                <w:szCs w:val="32"/>
              </w:rPr>
            </m:ctrlPr>
          </m:sSubPr>
          <m:e>
            <m:r>
              <w:rPr>
                <w:rFonts w:ascii="Cambria Math" w:eastAsia="仿宋_GB2312" w:hAnsi="Cambria Math"/>
                <w:sz w:val="32"/>
                <w:szCs w:val="32"/>
              </w:rPr>
              <m:t>X</m:t>
            </m:r>
          </m:e>
          <m:sub>
            <m:r>
              <w:rPr>
                <w:rFonts w:ascii="Cambria Math" w:eastAsia="仿宋_GB2312" w:hAnsi="Cambria Math"/>
                <w:sz w:val="32"/>
                <w:szCs w:val="32"/>
              </w:rPr>
              <m:t>i</m:t>
            </m:r>
            <m:r>
              <m:rPr>
                <m:sty m:val="p"/>
              </m:rPr>
              <w:rPr>
                <w:rFonts w:ascii="Cambria Math" w:eastAsia="仿宋_GB2312" w:hAnsi="Cambria Math"/>
                <w:sz w:val="32"/>
                <w:szCs w:val="32"/>
              </w:rPr>
              <m:t>1</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质量调整系数；</w:t>
      </w:r>
    </w:p>
    <w:p w:rsidR="004C1E9A" w:rsidRDefault="000568EF" w:rsidP="004C1E9A">
      <w:pPr>
        <w:adjustRightInd w:val="0"/>
        <w:snapToGrid w:val="0"/>
        <w:spacing w:line="578" w:lineRule="exact"/>
        <w:ind w:firstLineChars="200" w:firstLine="640"/>
        <w:rPr>
          <w:rFonts w:eastAsia="仿宋_GB2312"/>
          <w:bCs/>
          <w:sz w:val="32"/>
          <w:szCs w:val="32"/>
        </w:rPr>
      </w:pPr>
      <m:oMath>
        <m:sSub>
          <m:sSubPr>
            <m:ctrlPr>
              <w:rPr>
                <w:rFonts w:ascii="Cambria Math" w:eastAsia="仿宋_GB2312" w:hAnsi="Cambria Math"/>
                <w:bCs/>
                <w:sz w:val="32"/>
                <w:szCs w:val="32"/>
              </w:rPr>
            </m:ctrlPr>
          </m:sSubPr>
          <m:e>
            <m:r>
              <w:rPr>
                <w:rFonts w:ascii="Cambria Math" w:eastAsia="仿宋_GB2312" w:hAnsi="Cambria Math"/>
                <w:sz w:val="32"/>
                <w:szCs w:val="32"/>
              </w:rPr>
              <m:t>X</m:t>
            </m:r>
          </m:e>
          <m:sub>
            <m:r>
              <w:rPr>
                <w:rFonts w:ascii="Cambria Math" w:eastAsia="仿宋_GB2312" w:hAnsi="Cambria Math"/>
                <w:sz w:val="32"/>
                <w:szCs w:val="32"/>
              </w:rPr>
              <m:t>i</m:t>
            </m:r>
            <m:r>
              <m:rPr>
                <m:sty m:val="p"/>
              </m:rPr>
              <w:rPr>
                <w:rFonts w:ascii="Cambria Math" w:eastAsia="仿宋_GB2312" w:hAnsi="Cambria Math"/>
                <w:sz w:val="32"/>
                <w:szCs w:val="32"/>
              </w:rPr>
              <m:t>2</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供求调整系数；</w:t>
      </w:r>
    </w:p>
    <w:p w:rsidR="004C1E9A" w:rsidRDefault="000568EF" w:rsidP="004C1E9A">
      <w:pPr>
        <w:adjustRightInd w:val="0"/>
        <w:snapToGrid w:val="0"/>
        <w:spacing w:line="578" w:lineRule="exact"/>
        <w:ind w:firstLineChars="200" w:firstLine="640"/>
        <w:rPr>
          <w:rFonts w:eastAsia="仿宋_GB2312"/>
          <w:bCs/>
          <w:sz w:val="32"/>
          <w:szCs w:val="32"/>
        </w:rPr>
      </w:pPr>
      <m:oMath>
        <m:sSub>
          <m:sSubPr>
            <m:ctrlPr>
              <w:rPr>
                <w:rFonts w:ascii="Cambria Math" w:eastAsia="仿宋_GB2312" w:hAnsi="Cambria Math"/>
                <w:bCs/>
                <w:sz w:val="32"/>
                <w:szCs w:val="32"/>
              </w:rPr>
            </m:ctrlPr>
          </m:sSubPr>
          <m:e>
            <m:r>
              <w:rPr>
                <w:rFonts w:ascii="Cambria Math" w:eastAsia="仿宋_GB2312" w:hAnsi="Cambria Math"/>
                <w:sz w:val="32"/>
                <w:szCs w:val="32"/>
              </w:rPr>
              <m:t>X</m:t>
            </m:r>
          </m:e>
          <m:sub>
            <m:r>
              <w:rPr>
                <w:rFonts w:ascii="Cambria Math" w:eastAsia="仿宋_GB2312" w:hAnsi="Cambria Math"/>
                <w:sz w:val="32"/>
                <w:szCs w:val="32"/>
              </w:rPr>
              <m:t>i</m:t>
            </m:r>
            <m:r>
              <m:rPr>
                <m:sty m:val="p"/>
              </m:rPr>
              <w:rPr>
                <w:rFonts w:ascii="Cambria Math" w:eastAsia="仿宋_GB2312" w:hAnsi="Cambria Math"/>
                <w:sz w:val="32"/>
                <w:szCs w:val="32"/>
              </w:rPr>
              <m:t>3</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期日调整系数；</w:t>
      </w:r>
    </w:p>
    <w:p w:rsidR="004C1E9A" w:rsidRDefault="000568EF" w:rsidP="004C1E9A">
      <w:pPr>
        <w:tabs>
          <w:tab w:val="left" w:pos="4715"/>
        </w:tabs>
        <w:adjustRightInd w:val="0"/>
        <w:snapToGrid w:val="0"/>
        <w:spacing w:line="578" w:lineRule="exact"/>
        <w:ind w:firstLineChars="200" w:firstLine="640"/>
        <w:rPr>
          <w:rFonts w:eastAsia="仿宋_GB2312"/>
          <w:bCs/>
          <w:sz w:val="32"/>
          <w:szCs w:val="32"/>
        </w:rPr>
      </w:pPr>
      <m:oMath>
        <m:sSub>
          <m:sSubPr>
            <m:ctrlPr>
              <w:rPr>
                <w:rFonts w:ascii="Cambria Math" w:eastAsia="仿宋_GB2312" w:hAnsi="Cambria Math"/>
                <w:bCs/>
                <w:sz w:val="32"/>
                <w:szCs w:val="32"/>
              </w:rPr>
            </m:ctrlPr>
          </m:sSubPr>
          <m:e>
            <m:r>
              <w:rPr>
                <w:rFonts w:ascii="Cambria Math" w:eastAsia="仿宋_GB2312" w:hAnsi="Cambria Math"/>
                <w:sz w:val="32"/>
                <w:szCs w:val="32"/>
              </w:rPr>
              <m:t>X</m:t>
            </m:r>
          </m:e>
          <m:sub>
            <m:r>
              <w:rPr>
                <w:rFonts w:ascii="Cambria Math" w:eastAsia="仿宋_GB2312" w:hAnsi="Cambria Math"/>
                <w:sz w:val="32"/>
                <w:szCs w:val="32"/>
              </w:rPr>
              <m:t>i</m:t>
            </m:r>
            <m:r>
              <m:rPr>
                <m:sty m:val="p"/>
              </m:rPr>
              <w:rPr>
                <w:rFonts w:ascii="Cambria Math" w:eastAsia="仿宋_GB2312" w:hAnsi="Cambria Math"/>
                <w:sz w:val="32"/>
                <w:szCs w:val="32"/>
              </w:rPr>
              <m:t>4</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容量调整系数；</w:t>
      </w:r>
    </w:p>
    <w:p w:rsidR="004C1E9A" w:rsidRDefault="000568EF" w:rsidP="004C1E9A">
      <w:pPr>
        <w:adjustRightInd w:val="0"/>
        <w:snapToGrid w:val="0"/>
        <w:spacing w:line="578" w:lineRule="exact"/>
        <w:ind w:firstLineChars="200" w:firstLine="640"/>
        <w:jc w:val="left"/>
        <w:rPr>
          <w:rFonts w:eastAsia="仿宋_GB2312"/>
          <w:bCs/>
          <w:sz w:val="32"/>
          <w:szCs w:val="32"/>
        </w:rPr>
      </w:pPr>
      <m:oMath>
        <m:sSub>
          <m:sSubPr>
            <m:ctrlPr>
              <w:rPr>
                <w:rFonts w:ascii="Cambria Math" w:eastAsia="仿宋_GB2312" w:hAnsi="Cambria Math"/>
                <w:bCs/>
                <w:sz w:val="32"/>
                <w:szCs w:val="32"/>
              </w:rPr>
            </m:ctrlPr>
          </m:sSubPr>
          <m:e>
            <m:r>
              <w:rPr>
                <w:rFonts w:ascii="Cambria Math" w:eastAsia="仿宋_GB2312" w:hAnsi="Cambria Math"/>
                <w:sz w:val="32"/>
                <w:szCs w:val="32"/>
              </w:rPr>
              <m:t>X</m:t>
            </m:r>
          </m:e>
          <m:sub>
            <m:r>
              <w:rPr>
                <w:rFonts w:ascii="Cambria Math" w:eastAsia="仿宋_GB2312" w:hAnsi="Cambria Math"/>
                <w:sz w:val="32"/>
                <w:szCs w:val="32"/>
              </w:rPr>
              <m:t>i</m:t>
            </m:r>
            <m:r>
              <m:rPr>
                <m:sty m:val="p"/>
              </m:rPr>
              <w:rPr>
                <w:rFonts w:ascii="Cambria Math" w:eastAsia="仿宋_GB2312" w:hAnsi="Cambria Math"/>
                <w:sz w:val="32"/>
                <w:szCs w:val="32"/>
              </w:rPr>
              <m:t>5</m:t>
            </m:r>
          </m:sub>
        </m:sSub>
      </m:oMath>
      <w:r w:rsidR="004C1E9A" w:rsidRPr="00287284">
        <w:rPr>
          <w:rFonts w:ascii="华文中宋" w:eastAsia="华文中宋" w:hAnsi="华文中宋" w:hint="eastAsia"/>
          <w:bCs/>
          <w:sz w:val="32"/>
          <w:szCs w:val="32"/>
        </w:rPr>
        <w:t>——</w:t>
      </w:r>
      <w:r w:rsidR="004C1E9A">
        <w:rPr>
          <w:rFonts w:eastAsia="仿宋_GB2312" w:hint="eastAsia"/>
          <w:bCs/>
          <w:sz w:val="32"/>
          <w:szCs w:val="32"/>
        </w:rPr>
        <w:t>其他调整系数。</w:t>
      </w:r>
    </w:p>
    <w:p w:rsidR="004C1E9A" w:rsidRDefault="004C1E9A" w:rsidP="004C1E9A">
      <w:pPr>
        <w:snapToGrid w:val="0"/>
        <w:spacing w:line="578" w:lineRule="exact"/>
        <w:ind w:firstLineChars="200" w:firstLine="640"/>
        <w:rPr>
          <w:rFonts w:eastAsia="楷体_GB2312"/>
          <w:bCs/>
          <w:sz w:val="32"/>
          <w:szCs w:val="32"/>
        </w:rPr>
      </w:pPr>
      <w:r>
        <w:rPr>
          <w:rFonts w:eastAsia="楷体_GB2312" w:hint="eastAsia"/>
          <w:bCs/>
          <w:sz w:val="32"/>
          <w:szCs w:val="32"/>
        </w:rPr>
        <w:t>（二）系数说明</w:t>
      </w:r>
    </w:p>
    <w:p w:rsidR="004C1E9A" w:rsidRDefault="004C1E9A" w:rsidP="004C1E9A">
      <w:pPr>
        <w:adjustRightInd w:val="0"/>
        <w:snapToGrid w:val="0"/>
        <w:spacing w:line="578" w:lineRule="exact"/>
        <w:ind w:firstLineChars="200" w:firstLine="640"/>
        <w:rPr>
          <w:rFonts w:ascii="仿宋_GB2312" w:eastAsia="仿宋_GB2312"/>
          <w:bCs/>
          <w:sz w:val="32"/>
          <w:szCs w:val="32"/>
        </w:rPr>
      </w:pPr>
      <w:r>
        <w:rPr>
          <w:rFonts w:ascii="仿宋_GB2312" w:eastAsia="仿宋_GB2312" w:hint="eastAsia"/>
          <w:bCs/>
          <w:sz w:val="32"/>
          <w:szCs w:val="32"/>
        </w:rPr>
        <w:t>1.质量调整系数是指在估算被评估数据资产价值时，综合考虑数据质量对其价值影响的调整系数，相关质量评价指标可以参考附</w:t>
      </w:r>
      <w:r>
        <w:rPr>
          <w:rFonts w:ascii="仿宋_GB2312" w:eastAsia="仿宋_GB2312"/>
          <w:bCs/>
          <w:sz w:val="32"/>
          <w:szCs w:val="32"/>
        </w:rPr>
        <w:t>2</w:t>
      </w:r>
      <w:r>
        <w:rPr>
          <w:rFonts w:ascii="仿宋_GB2312" w:eastAsia="仿宋_GB2312" w:hint="eastAsia"/>
          <w:bCs/>
          <w:sz w:val="32"/>
          <w:szCs w:val="32"/>
        </w:rPr>
        <w:t>；</w:t>
      </w:r>
    </w:p>
    <w:p w:rsidR="004C1E9A" w:rsidRDefault="004C1E9A" w:rsidP="004C1E9A">
      <w:pPr>
        <w:adjustRightInd w:val="0"/>
        <w:snapToGrid w:val="0"/>
        <w:spacing w:line="578" w:lineRule="exact"/>
        <w:ind w:firstLineChars="200" w:firstLine="640"/>
        <w:rPr>
          <w:rFonts w:ascii="仿宋_GB2312" w:eastAsia="仿宋_GB2312"/>
          <w:bCs/>
          <w:sz w:val="32"/>
          <w:szCs w:val="32"/>
        </w:rPr>
      </w:pPr>
      <w:r>
        <w:rPr>
          <w:rFonts w:ascii="仿宋_GB2312" w:eastAsia="仿宋_GB2312" w:hint="eastAsia"/>
          <w:bCs/>
          <w:sz w:val="32"/>
          <w:szCs w:val="32"/>
        </w:rPr>
        <w:t>2.供求调整系数是指在估算被评估数据资产价值时，综</w:t>
      </w:r>
      <w:r>
        <w:rPr>
          <w:rFonts w:ascii="仿宋_GB2312" w:eastAsia="仿宋_GB2312" w:hint="eastAsia"/>
          <w:bCs/>
          <w:sz w:val="32"/>
          <w:szCs w:val="32"/>
        </w:rPr>
        <w:lastRenderedPageBreak/>
        <w:t>合考虑数据资产的市场规模、稀缺性及价值密度等因素对其价值影响的调整系数；</w:t>
      </w:r>
    </w:p>
    <w:p w:rsidR="004C1E9A" w:rsidRDefault="004C1E9A" w:rsidP="004C1E9A">
      <w:pPr>
        <w:adjustRightInd w:val="0"/>
        <w:snapToGrid w:val="0"/>
        <w:spacing w:line="578" w:lineRule="exact"/>
        <w:ind w:firstLineChars="200" w:firstLine="640"/>
        <w:rPr>
          <w:rFonts w:ascii="仿宋_GB2312" w:eastAsia="仿宋_GB2312"/>
          <w:bCs/>
          <w:sz w:val="32"/>
          <w:szCs w:val="32"/>
        </w:rPr>
      </w:pPr>
      <w:r>
        <w:rPr>
          <w:rFonts w:ascii="仿宋_GB2312" w:eastAsia="仿宋_GB2312" w:hint="eastAsia"/>
          <w:bCs/>
          <w:sz w:val="32"/>
          <w:szCs w:val="32"/>
        </w:rPr>
        <w:t>3.期日调整系数是指在估算被评估数据资产价值时，综合考虑各可比案例在其交易时点的居民消费价格指数、行业价格指数等与被评估数据资产交易时点同口径指数的差异情况</w:t>
      </w:r>
      <w:bookmarkStart w:id="1" w:name="_Hlk119061559"/>
      <w:r>
        <w:rPr>
          <w:rFonts w:ascii="仿宋_GB2312" w:eastAsia="仿宋_GB2312" w:hint="eastAsia"/>
          <w:bCs/>
          <w:sz w:val="32"/>
          <w:szCs w:val="32"/>
        </w:rPr>
        <w:t>对其价值影响</w:t>
      </w:r>
      <w:bookmarkEnd w:id="1"/>
      <w:r>
        <w:rPr>
          <w:rFonts w:ascii="仿宋_GB2312" w:eastAsia="仿宋_GB2312" w:hint="eastAsia"/>
          <w:bCs/>
          <w:sz w:val="32"/>
          <w:szCs w:val="32"/>
        </w:rPr>
        <w:t>的调整系数；</w:t>
      </w:r>
    </w:p>
    <w:p w:rsidR="004C1E9A" w:rsidRDefault="004C1E9A" w:rsidP="004C1E9A">
      <w:pPr>
        <w:adjustRightInd w:val="0"/>
        <w:snapToGrid w:val="0"/>
        <w:spacing w:line="578" w:lineRule="exact"/>
        <w:ind w:firstLineChars="200" w:firstLine="640"/>
        <w:rPr>
          <w:rFonts w:ascii="仿宋_GB2312" w:eastAsia="仿宋_GB2312"/>
          <w:bCs/>
          <w:sz w:val="32"/>
          <w:szCs w:val="32"/>
        </w:rPr>
      </w:pPr>
      <w:r>
        <w:rPr>
          <w:rFonts w:ascii="仿宋_GB2312" w:eastAsia="仿宋_GB2312" w:hint="eastAsia"/>
          <w:bCs/>
          <w:sz w:val="32"/>
          <w:szCs w:val="32"/>
        </w:rPr>
        <w:t>4.容量调整系数是指在估算被评估数据资产价值时，综合考虑数据容量对其价值影响的调整系数；</w:t>
      </w:r>
    </w:p>
    <w:p w:rsidR="00DA1A99" w:rsidRDefault="004C1E9A" w:rsidP="004C1E9A">
      <w:r>
        <w:rPr>
          <w:rFonts w:ascii="仿宋_GB2312" w:eastAsia="仿宋_GB2312" w:hint="eastAsia"/>
          <w:bCs/>
          <w:sz w:val="32"/>
          <w:szCs w:val="32"/>
        </w:rPr>
        <w:t>5.其他调整系数主要是指在估算被评估数据资产价值时，综合考虑其他因素对其价值影响的调整系数，例如：数据资产的应用场景不同、适用范围不同等也会对其价值产生相应影响，可以根据实际情况考虑可比案例差异，选择可量化的其他调整系数。</w:t>
      </w:r>
    </w:p>
    <w:sectPr w:rsidR="00DA1A99" w:rsidSect="00DA1A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EA3" w:rsidRDefault="00E31EA3" w:rsidP="00F6052E">
      <w:r>
        <w:separator/>
      </w:r>
    </w:p>
  </w:endnote>
  <w:endnote w:type="continuationSeparator" w:id="1">
    <w:p w:rsidR="00E31EA3" w:rsidRDefault="00E31EA3" w:rsidP="00F605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EA3" w:rsidRDefault="00E31EA3" w:rsidP="00F6052E">
      <w:r>
        <w:separator/>
      </w:r>
    </w:p>
  </w:footnote>
  <w:footnote w:type="continuationSeparator" w:id="1">
    <w:p w:rsidR="00E31EA3" w:rsidRDefault="00E31EA3" w:rsidP="00F60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1E9A"/>
    <w:rsid w:val="000568EF"/>
    <w:rsid w:val="004C1E9A"/>
    <w:rsid w:val="00DA1A99"/>
    <w:rsid w:val="00E31EA3"/>
    <w:rsid w:val="00F605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1E9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unhideWhenUsed/>
    <w:qFormat/>
    <w:rsid w:val="004C1E9A"/>
    <w:pPr>
      <w:widowControl w:val="0"/>
      <w:ind w:firstLineChars="200" w:firstLine="420"/>
      <w:jc w:val="both"/>
    </w:pPr>
    <w:rPr>
      <w:rFonts w:ascii="Times New Roman" w:eastAsia="宋体" w:hAnsi="Times New Roman" w:cs="Times New Roman"/>
      <w:szCs w:val="24"/>
    </w:rPr>
  </w:style>
  <w:style w:type="paragraph" w:customStyle="1" w:styleId="Default">
    <w:name w:val="Default"/>
    <w:qFormat/>
    <w:rsid w:val="004C1E9A"/>
    <w:pPr>
      <w:widowControl w:val="0"/>
      <w:autoSpaceDE w:val="0"/>
      <w:autoSpaceDN w:val="0"/>
      <w:adjustRightInd w:val="0"/>
    </w:pPr>
    <w:rPr>
      <w:rFonts w:ascii="微软雅黑" w:eastAsia="微软雅黑" w:hAnsi="Times New Roman" w:cs="微软雅黑"/>
      <w:color w:val="000000"/>
      <w:kern w:val="0"/>
      <w:sz w:val="24"/>
      <w:szCs w:val="24"/>
    </w:rPr>
  </w:style>
  <w:style w:type="paragraph" w:styleId="a4">
    <w:name w:val="List Paragraph"/>
    <w:basedOn w:val="a"/>
    <w:uiPriority w:val="34"/>
    <w:qFormat/>
    <w:rsid w:val="004C1E9A"/>
    <w:pPr>
      <w:ind w:firstLineChars="200" w:firstLine="420"/>
    </w:pPr>
  </w:style>
  <w:style w:type="paragraph" w:customStyle="1" w:styleId="a5">
    <w:name w:val="段"/>
    <w:link w:val="Char"/>
    <w:qFormat/>
    <w:rsid w:val="004C1E9A"/>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
    <w:name w:val="段 Char"/>
    <w:link w:val="a5"/>
    <w:qFormat/>
    <w:rsid w:val="004C1E9A"/>
    <w:rPr>
      <w:rFonts w:ascii="宋体" w:eastAsia="宋体" w:hAnsi="Times New Roman" w:cs="Times New Roman"/>
      <w:kern w:val="0"/>
      <w:szCs w:val="20"/>
    </w:rPr>
  </w:style>
  <w:style w:type="paragraph" w:styleId="a6">
    <w:name w:val="Balloon Text"/>
    <w:basedOn w:val="a"/>
    <w:link w:val="Char0"/>
    <w:uiPriority w:val="99"/>
    <w:semiHidden/>
    <w:unhideWhenUsed/>
    <w:rsid w:val="004C1E9A"/>
    <w:rPr>
      <w:sz w:val="18"/>
      <w:szCs w:val="18"/>
    </w:rPr>
  </w:style>
  <w:style w:type="character" w:customStyle="1" w:styleId="Char0">
    <w:name w:val="批注框文本 Char"/>
    <w:basedOn w:val="a1"/>
    <w:link w:val="a6"/>
    <w:uiPriority w:val="99"/>
    <w:semiHidden/>
    <w:rsid w:val="004C1E9A"/>
    <w:rPr>
      <w:rFonts w:ascii="Times New Roman" w:eastAsia="宋体" w:hAnsi="Times New Roman" w:cs="Times New Roman"/>
      <w:sz w:val="18"/>
      <w:szCs w:val="18"/>
    </w:rPr>
  </w:style>
  <w:style w:type="paragraph" w:styleId="a7">
    <w:name w:val="header"/>
    <w:basedOn w:val="a"/>
    <w:link w:val="Char1"/>
    <w:uiPriority w:val="99"/>
    <w:semiHidden/>
    <w:unhideWhenUsed/>
    <w:rsid w:val="00F605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semiHidden/>
    <w:rsid w:val="00F6052E"/>
    <w:rPr>
      <w:rFonts w:ascii="Times New Roman" w:eastAsia="宋体" w:hAnsi="Times New Roman" w:cs="Times New Roman"/>
      <w:sz w:val="18"/>
      <w:szCs w:val="18"/>
    </w:rPr>
  </w:style>
  <w:style w:type="paragraph" w:styleId="a8">
    <w:name w:val="footer"/>
    <w:basedOn w:val="a"/>
    <w:link w:val="Char2"/>
    <w:uiPriority w:val="99"/>
    <w:semiHidden/>
    <w:unhideWhenUsed/>
    <w:rsid w:val="00F6052E"/>
    <w:pPr>
      <w:tabs>
        <w:tab w:val="center" w:pos="4153"/>
        <w:tab w:val="right" w:pos="8306"/>
      </w:tabs>
      <w:snapToGrid w:val="0"/>
      <w:jc w:val="left"/>
    </w:pPr>
    <w:rPr>
      <w:sz w:val="18"/>
      <w:szCs w:val="18"/>
    </w:rPr>
  </w:style>
  <w:style w:type="character" w:customStyle="1" w:styleId="Char2">
    <w:name w:val="页脚 Char"/>
    <w:basedOn w:val="a1"/>
    <w:link w:val="a8"/>
    <w:uiPriority w:val="99"/>
    <w:semiHidden/>
    <w:rsid w:val="00F605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2023-09-15T03:41:00Z</dcterms:created>
  <dcterms:modified xsi:type="dcterms:W3CDTF">2023-09-15T03:44:00Z</dcterms:modified>
</cp:coreProperties>
</file>