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 w:eastAsia="仿宋_GB2312"/>
          <w:szCs w:val="32"/>
          <w:lang w:val="en-US" w:eastAsia="zh-CN"/>
        </w:rPr>
      </w:pPr>
      <w:r>
        <w:rPr>
          <w:rFonts w:hint="eastAsia" w:ascii="仿宋_GB2312" w:hAnsi="仿宋" w:eastAsia="仿宋_GB2312"/>
          <w:szCs w:val="32"/>
          <w:lang w:val="en-US" w:eastAsia="zh-CN"/>
        </w:rPr>
        <w:t>附件1</w:t>
      </w:r>
    </w:p>
    <w:p>
      <w:pPr>
        <w:jc w:val="center"/>
        <w:rPr>
          <w:rFonts w:ascii="仿宋_GB2312" w:hAnsi="仿宋" w:eastAsia="仿宋_GB2312"/>
          <w:szCs w:val="32"/>
        </w:rPr>
      </w:pPr>
    </w:p>
    <w:p>
      <w:pPr>
        <w:pStyle w:val="18"/>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中国资产评估协会关于推荐</w:t>
      </w:r>
    </w:p>
    <w:p>
      <w:pPr>
        <w:pStyle w:val="18"/>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2022年入选人民法院涉执财产处置</w:t>
      </w:r>
    </w:p>
    <w:p>
      <w:pPr>
        <w:pStyle w:val="18"/>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司法评估机构名单库的通知</w:t>
      </w:r>
    </w:p>
    <w:p>
      <w:pPr>
        <w:jc w:val="center"/>
        <w:rPr>
          <w:rFonts w:ascii="仿宋_GB2312" w:hAnsi="仿宋" w:eastAsia="仿宋_GB2312"/>
          <w:szCs w:val="32"/>
        </w:rPr>
      </w:pPr>
    </w:p>
    <w:p>
      <w:pPr>
        <w:spacing w:line="520" w:lineRule="exact"/>
        <w:jc w:val="center"/>
        <w:rPr>
          <w:rFonts w:ascii="仿宋_GB2312" w:hAnsi="仿宋" w:eastAsia="仿宋_GB2312"/>
          <w:szCs w:val="32"/>
        </w:rPr>
      </w:pPr>
      <w:r>
        <w:rPr>
          <w:rFonts w:ascii="仿宋_GB2312" w:hAnsi="仿宋" w:eastAsia="仿宋_GB2312"/>
          <w:szCs w:val="32"/>
        </w:rPr>
        <w:t>中评协办〔</w:t>
      </w:r>
      <w:r>
        <w:rPr>
          <w:rFonts w:hint="eastAsia" w:ascii="仿宋_GB2312" w:hAnsi="仿宋_GB2312" w:eastAsia="仿宋_GB2312" w:cs="仿宋_GB2312"/>
          <w:szCs w:val="32"/>
        </w:rPr>
        <w:t>2022</w:t>
      </w:r>
      <w:r>
        <w:rPr>
          <w:rFonts w:ascii="仿宋_GB2312" w:hAnsi="仿宋" w:eastAsia="仿宋_GB2312"/>
          <w:szCs w:val="32"/>
        </w:rPr>
        <w:t>〕</w:t>
      </w:r>
      <w:r>
        <w:rPr>
          <w:rFonts w:hint="eastAsia" w:ascii="仿宋_GB2312" w:hAnsi="仿宋" w:eastAsia="仿宋_GB2312"/>
          <w:szCs w:val="32"/>
        </w:rPr>
        <w:t>31号</w:t>
      </w:r>
    </w:p>
    <w:p>
      <w:pPr>
        <w:spacing w:line="400" w:lineRule="exact"/>
        <w:jc w:val="center"/>
        <w:rPr>
          <w:rFonts w:ascii="仿宋_GB2312" w:hAnsi="仿宋" w:eastAsia="仿宋_GB2312"/>
          <w:szCs w:val="32"/>
        </w:rPr>
      </w:pPr>
    </w:p>
    <w:p>
      <w:pPr>
        <w:spacing w:line="600" w:lineRule="exact"/>
        <w:rPr>
          <w:rFonts w:ascii="仿宋_GB2312" w:eastAsia="仿宋_GB2312"/>
          <w:color w:val="000000"/>
          <w:szCs w:val="32"/>
          <w:shd w:val="clear" w:color="auto" w:fill="FFFFFF"/>
        </w:rPr>
      </w:pPr>
      <w:bookmarkStart w:id="0" w:name="_GoBack"/>
      <w:bookmarkEnd w:id="0"/>
      <w:r>
        <w:rPr>
          <w:rFonts w:hint="eastAsia" w:ascii="仿宋_GB2312" w:eastAsia="仿宋_GB2312"/>
          <w:color w:val="000000"/>
          <w:szCs w:val="32"/>
          <w:shd w:val="clear" w:color="auto" w:fill="FFFFFF"/>
        </w:rPr>
        <w:t>各省、自治区、直辖市、计划单列市资产评估协会（有关注册会计师协会）：</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根据最高人民法院《关于人民法院确定财产处置参考价若干问题的规定》《人民法院委托评估工作规范》</w:t>
      </w:r>
      <w:r>
        <w:rPr>
          <w:rFonts w:hint="eastAsia" w:ascii="仿宋_GB2312" w:hAnsi="仿宋" w:eastAsia="仿宋_GB2312" w:cs="仿宋"/>
          <w:color w:val="000000"/>
          <w:kern w:val="0"/>
          <w:szCs w:val="32"/>
          <w:lang w:bidi="ar"/>
        </w:rPr>
        <w:t>相关规定和最高人民法院办公厅《关于报送2022年入选人民法院涉执财产处置司法评估机构名单</w:t>
      </w:r>
      <w:r>
        <w:rPr>
          <w:rFonts w:hint="eastAsia" w:ascii="仿宋_GB2312" w:eastAsia="仿宋_GB2312"/>
          <w:color w:val="000000"/>
          <w:szCs w:val="32"/>
          <w:shd w:val="clear" w:color="auto" w:fill="FFFFFF"/>
        </w:rPr>
        <w:t>库推荐名单</w:t>
      </w:r>
      <w:r>
        <w:rPr>
          <w:rFonts w:hint="eastAsia" w:ascii="仿宋_GB2312" w:hAnsi="仿宋" w:eastAsia="仿宋_GB2312" w:cs="仿宋"/>
          <w:color w:val="000000"/>
          <w:kern w:val="0"/>
          <w:szCs w:val="32"/>
          <w:lang w:bidi="ar"/>
        </w:rPr>
        <w:t>的函》，中国资产评估协会（以下简称中评协）组织各地方协会整理报送除名的机构名单和退出名单库的机构名单，并按照推荐标准重新推荐2022年入选名单库的评估机构名单。现就开展</w:t>
      </w:r>
      <w:r>
        <w:rPr>
          <w:rFonts w:hint="eastAsia" w:ascii="仿宋_GB2312" w:eastAsia="仿宋_GB2312"/>
          <w:color w:val="000000"/>
          <w:szCs w:val="32"/>
          <w:shd w:val="clear" w:color="auto" w:fill="FFFFFF"/>
        </w:rPr>
        <w:t>工作的具体事项通知如下：</w:t>
      </w:r>
    </w:p>
    <w:p>
      <w:pPr>
        <w:spacing w:line="600" w:lineRule="exact"/>
        <w:ind w:firstLine="640" w:firstLineChars="200"/>
        <w:rPr>
          <w:rFonts w:ascii="黑体" w:hAnsi="黑体" w:eastAsia="黑体"/>
          <w:color w:val="000000"/>
          <w:szCs w:val="32"/>
          <w:shd w:val="clear" w:color="auto" w:fill="FFFFFF"/>
        </w:rPr>
      </w:pPr>
      <w:r>
        <w:rPr>
          <w:rFonts w:hint="eastAsia" w:ascii="黑体" w:hAnsi="黑体" w:eastAsia="黑体"/>
          <w:color w:val="000000"/>
          <w:szCs w:val="32"/>
          <w:shd w:val="clear" w:color="auto" w:fill="FFFFFF"/>
        </w:rPr>
        <w:t>一、入选2022年名单库的条件和不予入库的情形</w:t>
      </w:r>
    </w:p>
    <w:p>
      <w:pPr>
        <w:spacing w:line="600" w:lineRule="exact"/>
        <w:ind w:firstLine="640" w:firstLineChars="200"/>
        <w:rPr>
          <w:rFonts w:ascii="楷体" w:hAnsi="楷体" w:eastAsia="楷体" w:cs="楷体"/>
          <w:color w:val="000000"/>
          <w:szCs w:val="32"/>
          <w:shd w:val="clear" w:color="auto" w:fill="FFFFFF"/>
        </w:rPr>
      </w:pPr>
      <w:r>
        <w:rPr>
          <w:rFonts w:hint="eastAsia" w:ascii="楷体" w:hAnsi="楷体" w:eastAsia="楷体" w:cs="楷体"/>
          <w:color w:val="000000"/>
          <w:szCs w:val="32"/>
          <w:shd w:val="clear" w:color="auto" w:fill="FFFFFF"/>
        </w:rPr>
        <w:t>（一）具备以下条件的资产评估机构或分支机构，按照自愿原则申请进入名单库：</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1.在财政部门备案；</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2.具有5名以上资产评估师；</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3.具有良好的职业道德和从事司法评估业务的专业能力； </w:t>
      </w:r>
    </w:p>
    <w:p>
      <w:pPr>
        <w:spacing w:line="600" w:lineRule="exact"/>
        <w:ind w:left="640" w:left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4.具有运行有效的内部管理制度和执业质量控制制度。</w:t>
      </w:r>
    </w:p>
    <w:p>
      <w:pPr>
        <w:tabs>
          <w:tab w:val="right" w:pos="8844"/>
        </w:tabs>
        <w:spacing w:line="600" w:lineRule="exact"/>
        <w:ind w:left="640" w:leftChars="200"/>
        <w:rPr>
          <w:rFonts w:ascii="楷体" w:hAnsi="楷体" w:eastAsia="楷体" w:cs="楷体"/>
          <w:color w:val="000000"/>
          <w:szCs w:val="32"/>
          <w:shd w:val="clear" w:color="auto" w:fill="FFFFFF"/>
        </w:rPr>
      </w:pPr>
      <w:r>
        <w:rPr>
          <w:rFonts w:hint="eastAsia" w:ascii="楷体" w:hAnsi="楷体" w:eastAsia="楷体" w:cs="楷体"/>
          <w:color w:val="000000"/>
          <w:szCs w:val="32"/>
          <w:shd w:val="clear" w:color="auto" w:fill="FFFFFF"/>
        </w:rPr>
        <w:t xml:space="preserve">（二）下列情形的，不予入选名单库： </w:t>
      </w:r>
      <w:r>
        <w:rPr>
          <w:rFonts w:ascii="楷体" w:hAnsi="楷体" w:eastAsia="楷体" w:cs="楷体"/>
          <w:color w:val="000000"/>
          <w:szCs w:val="32"/>
          <w:shd w:val="clear" w:color="auto" w:fill="FFFFFF"/>
        </w:rPr>
        <w:tab/>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1.受到通报批评（含）以上自律惩戒的机构未满一年的；</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2.受到警告（含）以上行政处罚的机构未满五年的；</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3.分公司或分所所在的总公司或总所未申报或不满足规定条件的；</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4.经查实申报材料有弄虚作假的；</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5.收费标准高于或低于全部申报机构平均收费标准10%的。</w:t>
      </w:r>
    </w:p>
    <w:p>
      <w:pPr>
        <w:spacing w:line="600" w:lineRule="exact"/>
        <w:ind w:firstLine="640" w:firstLineChars="200"/>
        <w:rPr>
          <w:rFonts w:ascii="黑体" w:hAnsi="黑体" w:eastAsia="黑体"/>
          <w:color w:val="000000"/>
          <w:szCs w:val="32"/>
          <w:shd w:val="clear" w:color="auto" w:fill="FFFFFF"/>
        </w:rPr>
      </w:pPr>
      <w:r>
        <w:rPr>
          <w:rFonts w:hint="eastAsia" w:ascii="黑体" w:hAnsi="黑体" w:eastAsia="黑体"/>
          <w:color w:val="000000"/>
          <w:szCs w:val="32"/>
          <w:shd w:val="clear" w:color="auto" w:fill="FFFFFF"/>
        </w:rPr>
        <w:t xml:space="preserve">二、资产评估机构应予除名的情形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已入选名单库的资产评估机构具有下列情形之一的，按照规定程序从名单库中予以除名，五年内不得再推荐入选名单库：</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（一）被纳入失信被执行人名单的；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（二）因违反资产评估法或者评估行业监督管理办法被有关部门处罚的；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（三）已办理企业注销登记的；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（四）已被市场监管部门吊销营业执照的；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（五）违反中评协自律管理规定，受到严重惩戒的；</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（六）无正当理由拒绝进行司法评估的；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（七）存在弄虚作假情形的；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（八）未按照在中评协报备的收费标准计算评估费用的。</w:t>
      </w:r>
    </w:p>
    <w:p>
      <w:pPr>
        <w:spacing w:line="600" w:lineRule="exact"/>
        <w:ind w:firstLine="640" w:firstLineChars="200"/>
        <w:rPr>
          <w:rFonts w:ascii="黑体" w:hAnsi="黑体" w:eastAsia="黑体"/>
          <w:color w:val="000000"/>
          <w:szCs w:val="32"/>
          <w:shd w:val="clear" w:color="auto" w:fill="FFFFFF"/>
        </w:rPr>
      </w:pPr>
      <w:r>
        <w:rPr>
          <w:rFonts w:hint="eastAsia" w:ascii="黑体" w:hAnsi="黑体" w:eastAsia="黑体"/>
          <w:color w:val="000000"/>
          <w:szCs w:val="32"/>
          <w:shd w:val="clear" w:color="auto" w:fill="FFFFFF"/>
        </w:rPr>
        <w:t xml:space="preserve">三、信息填报要求 </w:t>
      </w:r>
    </w:p>
    <w:p>
      <w:pPr>
        <w:spacing w:line="600" w:lineRule="exact"/>
        <w:ind w:firstLine="640" w:firstLineChars="200"/>
        <w:rPr>
          <w:rFonts w:ascii="楷体" w:hAnsi="楷体" w:eastAsia="楷体"/>
          <w:color w:val="000000"/>
          <w:szCs w:val="32"/>
          <w:shd w:val="clear" w:color="auto" w:fill="FFFFFF"/>
        </w:rPr>
      </w:pPr>
      <w:r>
        <w:rPr>
          <w:rFonts w:hint="eastAsia" w:ascii="楷体" w:hAnsi="楷体" w:eastAsia="楷体"/>
          <w:color w:val="000000"/>
          <w:szCs w:val="32"/>
          <w:shd w:val="clear" w:color="auto" w:fill="FFFFFF"/>
        </w:rPr>
        <w:t>（一） 2022 年入选名单库</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各地方协会应当按照入库标准对2022年申请入选名单库的评估机构信息进行认真核实后推荐，并填报所在地区2022 年涉执财产处置司法评估机构名单库推荐名单（见附件1），并将 2022 年新申请入库的评估机构予以标注。</w:t>
      </w:r>
    </w:p>
    <w:p>
      <w:pPr>
        <w:spacing w:line="600" w:lineRule="exact"/>
        <w:ind w:firstLine="640" w:firstLineChars="200"/>
        <w:rPr>
          <w:rFonts w:ascii="楷体" w:hAnsi="楷体" w:eastAsia="楷体"/>
          <w:color w:val="000000"/>
          <w:szCs w:val="32"/>
          <w:shd w:val="clear" w:color="auto" w:fill="FFFFFF"/>
        </w:rPr>
      </w:pPr>
      <w:r>
        <w:rPr>
          <w:rFonts w:hint="eastAsia" w:ascii="楷体" w:hAnsi="楷体" w:eastAsia="楷体"/>
          <w:color w:val="000000"/>
          <w:szCs w:val="32"/>
          <w:shd w:val="clear" w:color="auto" w:fill="FFFFFF"/>
        </w:rPr>
        <w:t>（二）退出机构名单和除名机构名单</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各地方协会应当按照相关规定，结合本地区实际情况填报退出名单库机构名单（见附件 2）和除名名单库机构名单（见附件 3），并在相关附件中注明退出或除名原因。 </w:t>
      </w:r>
    </w:p>
    <w:p>
      <w:pPr>
        <w:spacing w:line="600" w:lineRule="exact"/>
        <w:ind w:firstLine="640" w:firstLineChars="200"/>
        <w:rPr>
          <w:rFonts w:ascii="楷体" w:hAnsi="楷体" w:eastAsia="楷体"/>
          <w:color w:val="000000"/>
          <w:szCs w:val="32"/>
          <w:shd w:val="clear" w:color="auto" w:fill="FFFFFF"/>
        </w:rPr>
      </w:pPr>
      <w:r>
        <w:rPr>
          <w:rFonts w:hint="eastAsia" w:ascii="楷体" w:hAnsi="楷体" w:eastAsia="楷体"/>
          <w:color w:val="000000"/>
          <w:szCs w:val="32"/>
          <w:shd w:val="clear" w:color="auto" w:fill="FFFFFF"/>
        </w:rPr>
        <w:t>（三）填报资产评估师信息</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申报 2022 年入选名单库的资产评估机构，应当填报本机构及其分支机构的资产评估师信息表。各地方协会负责核实并汇总所在地区入选名单库评估机构的资产评估师信息表（见附件4）。 </w:t>
      </w:r>
    </w:p>
    <w:p>
      <w:pPr>
        <w:spacing w:line="600" w:lineRule="exact"/>
        <w:ind w:firstLine="640" w:firstLineChars="200"/>
        <w:rPr>
          <w:rFonts w:ascii="楷体" w:hAnsi="楷体" w:eastAsia="楷体"/>
          <w:color w:val="000000"/>
          <w:szCs w:val="32"/>
          <w:shd w:val="clear" w:color="auto" w:fill="FFFFFF"/>
        </w:rPr>
      </w:pPr>
      <w:r>
        <w:rPr>
          <w:rFonts w:hint="eastAsia" w:ascii="楷体" w:hAnsi="楷体" w:eastAsia="楷体"/>
          <w:color w:val="000000"/>
          <w:szCs w:val="32"/>
          <w:shd w:val="clear" w:color="auto" w:fill="FFFFFF"/>
        </w:rPr>
        <w:t>（四）服务人民法院司法评估项目的收费标准</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申报 2022 年入选名单库的资产评估机构，应当填报服务人民法院司法评估项目的收费标准信息（信息填写在附件1中），同时提供加盖机构公章的收费标准公示书PDF格式扫描版（见附件5）。各地方协会负责核实并汇总所在地区入选名单库评估机构的收费标准和公示书。 </w:t>
      </w:r>
    </w:p>
    <w:p>
      <w:pPr>
        <w:spacing w:line="600" w:lineRule="exact"/>
        <w:ind w:firstLine="640" w:firstLineChars="200"/>
        <w:rPr>
          <w:rFonts w:ascii="楷体" w:hAnsi="楷体" w:eastAsia="楷体"/>
          <w:color w:val="000000"/>
          <w:szCs w:val="32"/>
          <w:shd w:val="clear" w:color="auto" w:fill="FFFFFF"/>
        </w:rPr>
      </w:pPr>
      <w:r>
        <w:rPr>
          <w:rFonts w:hint="eastAsia" w:ascii="楷体" w:hAnsi="楷体" w:eastAsia="楷体"/>
          <w:color w:val="000000"/>
          <w:szCs w:val="32"/>
          <w:shd w:val="clear" w:color="auto" w:fill="FFFFFF"/>
        </w:rPr>
        <w:t xml:space="preserve">（五）地方协会联络人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请各地方协会指派专人负责此项工作，填写《地方协会司法评估业务联系人员表》（见附件6）。 </w:t>
      </w:r>
    </w:p>
    <w:p>
      <w:pPr>
        <w:spacing w:line="600" w:lineRule="exact"/>
        <w:ind w:firstLine="640" w:firstLineChars="200"/>
        <w:rPr>
          <w:rFonts w:ascii="仿宋_GB2312" w:eastAsia="仿宋_GB2312"/>
          <w:color w:val="000000"/>
          <w:szCs w:val="32"/>
          <w:shd w:val="clear" w:color="auto" w:fill="FFFFFF"/>
        </w:rPr>
      </w:pPr>
      <w:r>
        <w:rPr>
          <w:rFonts w:hint="eastAsia" w:ascii="黑体" w:hAnsi="黑体" w:eastAsia="黑体"/>
          <w:color w:val="000000"/>
          <w:szCs w:val="32"/>
          <w:shd w:val="clear" w:color="auto" w:fill="FFFFFF"/>
        </w:rPr>
        <w:t xml:space="preserve">四、上报要求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请各地方协会认真组织本地区评估机构做好 2022年入选名单库推荐名单的报送工作，于 2022年7月20日前将附件1 至附件6的电子版报送中评协。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中评协珠宝评估专委会负责协助中评协开展珠宝类资产评估机构入选 2022 年名单库的相关推荐工作。评估机构拟入选珠宝评估库的，请将附件1至附件5有关信息材料先提交给中评协珠宝评估专委会，再由其汇总后转中评协。</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因上报时间紧，对未严格按照规定格式和内容填报的机构和地区，将默认为主动放弃申报入库资格。 </w:t>
      </w:r>
    </w:p>
    <w:p>
      <w:pPr>
        <w:spacing w:line="600" w:lineRule="exact"/>
        <w:ind w:firstLine="640" w:firstLineChars="200"/>
        <w:rPr>
          <w:rFonts w:ascii="黑体" w:hAnsi="黑体" w:eastAsia="黑体"/>
          <w:color w:val="000000"/>
          <w:szCs w:val="32"/>
          <w:shd w:val="clear" w:color="auto" w:fill="FFFFFF"/>
        </w:rPr>
      </w:pPr>
      <w:r>
        <w:rPr>
          <w:rFonts w:hint="eastAsia" w:ascii="黑体" w:hAnsi="黑体" w:eastAsia="黑体"/>
          <w:color w:val="000000"/>
          <w:szCs w:val="32"/>
          <w:shd w:val="clear" w:color="auto" w:fill="FFFFFF"/>
        </w:rPr>
        <w:t xml:space="preserve">五、联系人及联系方式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中评协联系人：王文龙，李丝丝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联系电话：010-88339694，88339647</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电子邮箱：</w:t>
      </w:r>
      <w:r>
        <w:fldChar w:fldCharType="begin"/>
      </w:r>
      <w:r>
        <w:instrText xml:space="preserve"> HYPERLINK "mailto:wangwenlong@cas.org.cn" </w:instrText>
      </w:r>
      <w:r>
        <w:fldChar w:fldCharType="separate"/>
      </w:r>
      <w:r>
        <w:rPr>
          <w:rFonts w:ascii="仿宋_GB2312" w:eastAsia="仿宋_GB2312"/>
          <w:color w:val="000000"/>
          <w:szCs w:val="32"/>
          <w:shd w:val="clear" w:color="auto" w:fill="FFFFFF"/>
        </w:rPr>
        <w:t>wangwenlong@cas.org.cn</w:t>
      </w:r>
      <w:r>
        <w:rPr>
          <w:rFonts w:ascii="仿宋_GB2312" w:eastAsia="仿宋_GB2312"/>
          <w:color w:val="000000"/>
          <w:szCs w:val="32"/>
          <w:shd w:val="clear" w:color="auto" w:fill="FFFFFF"/>
        </w:rPr>
        <w:fldChar w:fldCharType="end"/>
      </w:r>
      <w:r>
        <w:rPr>
          <w:rFonts w:hint="eastAsia" w:ascii="仿宋_GB2312" w:eastAsia="仿宋_GB2312"/>
          <w:color w:val="000000"/>
          <w:szCs w:val="32"/>
          <w:shd w:val="clear" w:color="auto" w:fill="FFFFFF"/>
        </w:rPr>
        <w:t xml:space="preserve">，lisisi@cas.org.cn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中评协珠宝评估专委会联系人：李砚芳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联系电话： 010-58276125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电子邮箱：casgjac@163.com </w:t>
      </w:r>
    </w:p>
    <w:p>
      <w:pPr>
        <w:spacing w:line="600" w:lineRule="exact"/>
        <w:ind w:firstLine="640" w:firstLineChars="2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附件：1.xx省（区、市）2022 年涉执财产处置司法评估</w:t>
      </w:r>
    </w:p>
    <w:p>
      <w:pPr>
        <w:spacing w:line="600" w:lineRule="exact"/>
        <w:ind w:firstLine="1920" w:firstLineChars="6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机构名单库推荐名单</w:t>
      </w:r>
    </w:p>
    <w:p>
      <w:pPr>
        <w:spacing w:line="600" w:lineRule="exact"/>
        <w:ind w:firstLine="1600" w:firstLineChars="5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2.xx 省（区、市）退出名单库机构名单 </w:t>
      </w:r>
    </w:p>
    <w:p>
      <w:pPr>
        <w:spacing w:line="600" w:lineRule="exact"/>
        <w:ind w:firstLine="1600" w:firstLineChars="5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3.xx 省（区、市）除名名单库机构名单 </w:t>
      </w:r>
    </w:p>
    <w:p>
      <w:pPr>
        <w:spacing w:line="600" w:lineRule="exact"/>
        <w:ind w:firstLine="1600" w:firstLineChars="5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4.xx 省（区、市）资产评估师信息表 </w:t>
      </w:r>
    </w:p>
    <w:p>
      <w:pPr>
        <w:spacing w:line="600" w:lineRule="exact"/>
        <w:ind w:firstLine="1600" w:firstLineChars="5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5.xx 评估机构服务人民法院司法评估项目的收费</w:t>
      </w:r>
    </w:p>
    <w:p>
      <w:pPr>
        <w:spacing w:line="600" w:lineRule="exact"/>
        <w:ind w:firstLine="1920" w:firstLineChars="6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标准公示书 </w:t>
      </w:r>
    </w:p>
    <w:p>
      <w:pPr>
        <w:spacing w:line="600" w:lineRule="exact"/>
        <w:ind w:firstLine="1600" w:firstLineChars="500"/>
        <w:rPr>
          <w:rFonts w:ascii="仿宋_GB2312" w:eastAsia="仿宋_GB2312"/>
          <w:color w:val="000000"/>
          <w:szCs w:val="32"/>
          <w:shd w:val="clear" w:color="auto" w:fill="FFFFFF"/>
        </w:rPr>
      </w:pPr>
      <w:r>
        <w:rPr>
          <w:rFonts w:hint="eastAsia" w:ascii="仿宋_GB2312" w:eastAsia="仿宋_GB2312"/>
          <w:color w:val="000000"/>
          <w:szCs w:val="32"/>
          <w:shd w:val="clear" w:color="auto" w:fill="FFFFFF"/>
        </w:rPr>
        <w:t xml:space="preserve">6.地方协会司法评估业务联系人员表 </w:t>
      </w:r>
    </w:p>
    <w:p>
      <w:pPr>
        <w:spacing w:line="600" w:lineRule="exact"/>
        <w:ind w:firstLine="4960" w:firstLineChars="1550"/>
        <w:rPr>
          <w:rFonts w:ascii="仿宋_GB2312" w:hAnsi="宋体" w:eastAsia="仿宋_GB2312"/>
          <w:szCs w:val="32"/>
        </w:rPr>
      </w:pPr>
    </w:p>
    <w:p>
      <w:pPr>
        <w:spacing w:line="600" w:lineRule="exact"/>
        <w:ind w:firstLine="4960" w:firstLineChars="1550"/>
        <w:rPr>
          <w:rFonts w:ascii="仿宋_GB2312" w:hAnsi="宋体" w:eastAsia="仿宋_GB2312"/>
          <w:szCs w:val="32"/>
        </w:rPr>
      </w:pPr>
    </w:p>
    <w:p>
      <w:pPr>
        <w:spacing w:line="600" w:lineRule="exact"/>
        <w:ind w:firstLine="4960" w:firstLineChars="1550"/>
        <w:rPr>
          <w:rFonts w:ascii="仿宋_GB2312" w:hAnsi="宋体" w:eastAsia="仿宋_GB2312"/>
          <w:szCs w:val="32"/>
        </w:rPr>
      </w:pPr>
    </w:p>
    <w:p>
      <w:pPr>
        <w:spacing w:line="600" w:lineRule="exact"/>
        <w:ind w:firstLine="4960" w:firstLineChars="1550"/>
        <w:rPr>
          <w:rFonts w:ascii="仿宋_GB2312" w:hAnsi="宋体" w:eastAsia="仿宋_GB2312"/>
          <w:szCs w:val="32"/>
        </w:rPr>
      </w:pPr>
      <w:r>
        <w:rPr>
          <w:rFonts w:hint="eastAsia" w:ascii="仿宋_GB2312" w:hAnsi="宋体" w:eastAsia="仿宋_GB2312"/>
          <w:szCs w:val="32"/>
        </w:rPr>
        <w:t>中国资产评估协会</w:t>
      </w:r>
    </w:p>
    <w:p>
      <w:pPr>
        <w:spacing w:line="600" w:lineRule="exact"/>
        <w:ind w:firstLine="5120" w:firstLineChars="1600"/>
        <w:rPr>
          <w:rFonts w:ascii="方正小标宋简体" w:hAnsi="华文中宋" w:eastAsia="方正小标宋简体" w:cs="宋体"/>
          <w:color w:val="000000"/>
          <w:kern w:val="0"/>
          <w:szCs w:val="32"/>
        </w:rPr>
      </w:pPr>
      <w:r>
        <w:rPr>
          <w:rFonts w:hint="eastAsia" w:ascii="仿宋_GB2312" w:hAnsi="宋体" w:eastAsia="仿宋_GB2312"/>
          <w:szCs w:val="32"/>
        </w:rPr>
        <w:t>2022年7月</w:t>
      </w:r>
      <w:r>
        <w:rPr>
          <w:rFonts w:hint="eastAsia" w:ascii="仿宋_GB2312" w:eastAsia="仿宋_GB2312"/>
          <w:color w:val="000000"/>
          <w:szCs w:val="32"/>
          <w:shd w:val="clear" w:color="auto" w:fill="FFFFFF"/>
        </w:rPr>
        <w:t>7日</w:t>
      </w:r>
    </w:p>
    <w:p>
      <w:pPr>
        <w:spacing w:line="600" w:lineRule="exact"/>
        <w:ind w:firstLine="640" w:firstLineChars="200"/>
        <w:rPr>
          <w:rFonts w:ascii="仿宋_GB2312" w:eastAsia="仿宋_GB2312"/>
          <w:color w:val="000000"/>
          <w:szCs w:val="32"/>
          <w:shd w:val="clear" w:color="auto" w:fill="FFFFFF"/>
        </w:rPr>
      </w:pPr>
    </w:p>
    <w:p>
      <w:pPr>
        <w:spacing w:line="560" w:lineRule="exact"/>
        <w:ind w:firstLine="640" w:firstLineChars="200"/>
        <w:rPr>
          <w:rFonts w:ascii="仿宋_GB2312" w:eastAsia="仿宋_GB2312"/>
          <w:color w:val="000000"/>
          <w:szCs w:val="32"/>
          <w:shd w:val="clear" w:color="auto" w:fill="FFFFFF"/>
        </w:rPr>
      </w:pPr>
    </w:p>
    <w:p>
      <w:pPr>
        <w:spacing w:line="560" w:lineRule="exact"/>
        <w:ind w:firstLine="640" w:firstLineChars="200"/>
        <w:rPr>
          <w:rFonts w:ascii="仿宋_GB2312" w:eastAsia="仿宋_GB2312"/>
          <w:color w:val="000000"/>
          <w:szCs w:val="32"/>
          <w:shd w:val="clear" w:color="auto" w:fill="FFFFFF"/>
        </w:rPr>
      </w:pPr>
    </w:p>
    <w:p>
      <w:pPr>
        <w:spacing w:line="560" w:lineRule="exact"/>
        <w:ind w:firstLine="640" w:firstLineChars="200"/>
        <w:rPr>
          <w:rFonts w:ascii="仿宋_GB2312" w:eastAsia="仿宋_GB2312"/>
          <w:color w:val="000000"/>
          <w:szCs w:val="32"/>
          <w:shd w:val="clear" w:color="auto" w:fill="FFFFFF"/>
        </w:rPr>
      </w:pPr>
    </w:p>
    <w:p>
      <w:pPr>
        <w:spacing w:line="560" w:lineRule="exact"/>
        <w:ind w:firstLine="640" w:firstLineChars="200"/>
        <w:rPr>
          <w:rFonts w:ascii="仿宋_GB2312" w:eastAsia="仿宋_GB2312"/>
          <w:color w:val="000000"/>
          <w:szCs w:val="32"/>
          <w:shd w:val="clear" w:color="auto" w:fill="FFFFFF"/>
        </w:rPr>
      </w:pPr>
    </w:p>
    <w:p>
      <w:pPr>
        <w:spacing w:line="560" w:lineRule="exact"/>
        <w:ind w:firstLine="640" w:firstLineChars="200"/>
        <w:rPr>
          <w:rFonts w:ascii="仿宋_GB2312" w:eastAsia="仿宋_GB2312"/>
          <w:color w:val="000000"/>
          <w:szCs w:val="32"/>
          <w:shd w:val="clear" w:color="auto" w:fill="FFFFFF"/>
        </w:rPr>
      </w:pPr>
    </w:p>
    <w:p>
      <w:pPr>
        <w:spacing w:line="560" w:lineRule="exact"/>
        <w:ind w:firstLine="640" w:firstLineChars="200"/>
        <w:rPr>
          <w:rFonts w:ascii="仿宋_GB2312" w:eastAsia="仿宋_GB2312"/>
          <w:color w:val="000000"/>
          <w:szCs w:val="32"/>
          <w:shd w:val="clear" w:color="auto" w:fill="FFFFFF"/>
        </w:rPr>
      </w:pPr>
    </w:p>
    <w:tbl>
      <w:tblPr>
        <w:tblStyle w:val="20"/>
        <w:tblpPr w:leftFromText="180" w:rightFromText="180" w:vertAnchor="text" w:horzAnchor="page" w:tblpX="1670" w:tblpY="521"/>
        <w:tblW w:w="8844"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4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844" w:type="dxa"/>
            <w:tcBorders>
              <w:top w:val="single" w:color="auto" w:sz="12" w:space="0"/>
              <w:bottom w:val="single" w:color="auto" w:sz="12" w:space="0"/>
            </w:tcBorders>
            <w:vAlign w:val="center"/>
          </w:tcPr>
          <w:p>
            <w:pPr>
              <w:ind w:firstLine="280" w:firstLineChars="100"/>
              <w:jc w:val="left"/>
              <w:rPr>
                <w:rFonts w:ascii="仿宋_GB2312" w:eastAsia="仿宋_GB2312"/>
                <w:sz w:val="28"/>
                <w:szCs w:val="28"/>
              </w:rPr>
            </w:pPr>
            <w:r>
              <w:rPr>
                <w:rFonts w:hint="eastAsia" w:ascii="仿宋_GB2312" w:eastAsia="仿宋_GB2312"/>
                <w:sz w:val="28"/>
                <w:szCs w:val="28"/>
              </w:rPr>
              <w:t xml:space="preserve">中国资产评估协会自律监管部             2022年7月7日印发  </w:t>
            </w:r>
          </w:p>
        </w:tc>
      </w:tr>
    </w:tbl>
    <w:p>
      <w:pPr>
        <w:spacing w:line="560" w:lineRule="exact"/>
        <w:rPr>
          <w:rFonts w:ascii="仿宋_GB2312" w:eastAsia="仿宋_GB2312"/>
          <w:color w:val="000000"/>
          <w:szCs w:val="32"/>
          <w:shd w:val="clear" w:color="auto" w:fill="FFFFFF"/>
        </w:rPr>
      </w:pPr>
    </w:p>
    <w:sectPr>
      <w:footerReference r:id="rId3" w:type="default"/>
      <w:footerReference r:id="rId4" w:type="even"/>
      <w:pgSz w:w="11906" w:h="16838"/>
      <w:pgMar w:top="1701" w:right="1474" w:bottom="1588" w:left="1588" w:header="397" w:footer="397"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4768215</wp:posOffset>
              </wp:positionH>
              <wp:positionV relativeFrom="paragraph">
                <wp:posOffset>-523875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64925987"/>
                          </w:sdtPr>
                          <w:sdtEndPr>
                            <w:rPr>
                              <w:rFonts w:asciiTheme="minorEastAsia" w:hAnsiTheme="minorEastAsia" w:eastAsiaTheme="minorEastAsia"/>
                              <w:sz w:val="28"/>
                              <w:szCs w:val="28"/>
                            </w:rPr>
                          </w:sdtEndPr>
                          <w:sdtContent>
                            <w:p>
                              <w:pPr>
                                <w:pStyle w:val="16"/>
                                <w:ind w:right="360"/>
                                <w:jc w:val="right"/>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rPr>
                              <w:rFonts w:asciiTheme="minorEastAsia" w:hAnsiTheme="minorEastAsia" w:eastAsia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5.45pt;margin-top:-41.25pt;height:144pt;width:144pt;mso-position-horizontal-relative:margin;mso-wrap-style:none;z-index:251659264;mso-width-relative:page;mso-height-relative:page;" filled="f" stroked="f" coordsize="21600,21600" o:gfxdata="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2wPgtkAAAAM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sdt>
                    <w:sdtPr>
                      <w:id w:val="964925987"/>
                    </w:sdtPr>
                    <w:sdtEndPr>
                      <w:rPr>
                        <w:rFonts w:asciiTheme="minorEastAsia" w:hAnsiTheme="minorEastAsia" w:eastAsiaTheme="minorEastAsia"/>
                        <w:sz w:val="28"/>
                        <w:szCs w:val="28"/>
                      </w:rPr>
                    </w:sdtEndPr>
                    <w:sdtContent>
                      <w:p>
                        <w:pPr>
                          <w:pStyle w:val="16"/>
                          <w:ind w:right="360"/>
                          <w:jc w:val="right"/>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rPr>
                        <w:rFonts w:asciiTheme="minorEastAsia" w:hAnsiTheme="minorEastAsia" w:eastAsiaTheme="minorEastAsia"/>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firstLineChars="200"/>
      <w:rPr>
        <w:rFonts w:asciiTheme="minorEastAsia" w:hAnsiTheme="minorEastAsia" w:eastAsia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-514350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11643513"/>
                          </w:sdtPr>
                          <w:sdtEndPr>
                            <w:rPr>
                              <w:rFonts w:asciiTheme="minorEastAsia" w:hAnsiTheme="minorEastAsia" w:eastAsiaTheme="minorEastAsia"/>
                              <w:sz w:val="28"/>
                              <w:szCs w:val="28"/>
                            </w:rPr>
                          </w:sdtEndPr>
                          <w:sdtContent>
                            <w:p>
                              <w:pPr>
                                <w:pStyle w:val="16"/>
                                <w:ind w:firstLine="3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rPr>
                              <w:rFonts w:asciiTheme="minorEastAsia" w:hAnsiTheme="minorEastAsia" w:eastAsia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75pt;margin-top:-40.5pt;height:144pt;width:144pt;mso-position-horizontal-relative:margin;mso-wrap-style:none;z-index:251660288;mso-width-relative:page;mso-height-relative:page;" filled="f" stroked="f" coordsize="21600,21600" o:gfxdata="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61sWt1AAAAAkBAAAPAAAAAAAAAAEAIAAAACIAAABkcnMvZG93bnJldi54bWxQSwECFAAUAAAA&#10;CACHTuJABWGMPysCAABVBAAADgAAAAAAAAABACAAAAAjAQAAZHJzL2Uyb0RvYy54bWxQSwUGAAAA&#10;AAYABgBZAQAAwAUAAAAA&#10;">
              <v:fill on="f" focussize="0,0"/>
              <v:stroke on="f" weight="0.5pt"/>
              <v:imagedata o:title=""/>
              <o:lock v:ext="edit" aspectratio="f"/>
              <v:textbox inset="0mm,0mm,0mm,0mm" style="mso-fit-shape-to-text:t;">
                <w:txbxContent>
                  <w:sdt>
                    <w:sdtPr>
                      <w:id w:val="2011643513"/>
                    </w:sdtPr>
                    <w:sdtEndPr>
                      <w:rPr>
                        <w:rFonts w:asciiTheme="minorEastAsia" w:hAnsiTheme="minorEastAsia" w:eastAsiaTheme="minorEastAsia"/>
                        <w:sz w:val="28"/>
                        <w:szCs w:val="28"/>
                      </w:rPr>
                    </w:sdtEndPr>
                    <w:sdtContent>
                      <w:p>
                        <w:pPr>
                          <w:pStyle w:val="16"/>
                          <w:ind w:firstLine="3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rPr>
                        <w:rFonts w:asciiTheme="minorEastAsia" w:hAnsiTheme="minorEastAsia" w:eastAsiaTheme="minorEastAsia"/>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165B8E"/>
    <w:rsid w:val="0000166A"/>
    <w:rsid w:val="0000224C"/>
    <w:rsid w:val="0001094D"/>
    <w:rsid w:val="000112DA"/>
    <w:rsid w:val="00014C7B"/>
    <w:rsid w:val="00015CDC"/>
    <w:rsid w:val="00016026"/>
    <w:rsid w:val="00016095"/>
    <w:rsid w:val="00024BAA"/>
    <w:rsid w:val="00034A24"/>
    <w:rsid w:val="000450DA"/>
    <w:rsid w:val="0004783C"/>
    <w:rsid w:val="00052233"/>
    <w:rsid w:val="000576C0"/>
    <w:rsid w:val="00060EF4"/>
    <w:rsid w:val="00061D37"/>
    <w:rsid w:val="000640DA"/>
    <w:rsid w:val="00064F78"/>
    <w:rsid w:val="00065FC2"/>
    <w:rsid w:val="00081586"/>
    <w:rsid w:val="00082F53"/>
    <w:rsid w:val="00092E7D"/>
    <w:rsid w:val="00095A38"/>
    <w:rsid w:val="00096EE0"/>
    <w:rsid w:val="000972F5"/>
    <w:rsid w:val="000A05B5"/>
    <w:rsid w:val="000A19FC"/>
    <w:rsid w:val="000B0E5E"/>
    <w:rsid w:val="000B1064"/>
    <w:rsid w:val="000B1A5B"/>
    <w:rsid w:val="000B2C39"/>
    <w:rsid w:val="000B5CED"/>
    <w:rsid w:val="000C5944"/>
    <w:rsid w:val="000D01D9"/>
    <w:rsid w:val="000D4EE9"/>
    <w:rsid w:val="000D76C4"/>
    <w:rsid w:val="000E124B"/>
    <w:rsid w:val="000E2240"/>
    <w:rsid w:val="000E3608"/>
    <w:rsid w:val="000E546B"/>
    <w:rsid w:val="000E60E6"/>
    <w:rsid w:val="000E6B13"/>
    <w:rsid w:val="00100B0A"/>
    <w:rsid w:val="00105F65"/>
    <w:rsid w:val="00106C06"/>
    <w:rsid w:val="001205E9"/>
    <w:rsid w:val="001228EC"/>
    <w:rsid w:val="00123DC3"/>
    <w:rsid w:val="00124C32"/>
    <w:rsid w:val="0012598C"/>
    <w:rsid w:val="00131BAF"/>
    <w:rsid w:val="0013241D"/>
    <w:rsid w:val="00132E96"/>
    <w:rsid w:val="00135072"/>
    <w:rsid w:val="00144D17"/>
    <w:rsid w:val="00146B5A"/>
    <w:rsid w:val="00155947"/>
    <w:rsid w:val="00165556"/>
    <w:rsid w:val="00165B8E"/>
    <w:rsid w:val="00171BD6"/>
    <w:rsid w:val="001726BB"/>
    <w:rsid w:val="00187EB5"/>
    <w:rsid w:val="00194C18"/>
    <w:rsid w:val="00197758"/>
    <w:rsid w:val="001A2142"/>
    <w:rsid w:val="001A6029"/>
    <w:rsid w:val="001B08D4"/>
    <w:rsid w:val="001B446F"/>
    <w:rsid w:val="001D2382"/>
    <w:rsid w:val="001D28E8"/>
    <w:rsid w:val="001D53A5"/>
    <w:rsid w:val="001D5657"/>
    <w:rsid w:val="001D5BB1"/>
    <w:rsid w:val="001D722C"/>
    <w:rsid w:val="001F1A10"/>
    <w:rsid w:val="001F2875"/>
    <w:rsid w:val="001F3CBB"/>
    <w:rsid w:val="001F5024"/>
    <w:rsid w:val="001F74DB"/>
    <w:rsid w:val="0020183C"/>
    <w:rsid w:val="0020781F"/>
    <w:rsid w:val="00210F0E"/>
    <w:rsid w:val="00213280"/>
    <w:rsid w:val="00215745"/>
    <w:rsid w:val="002158BB"/>
    <w:rsid w:val="002179DE"/>
    <w:rsid w:val="00230B13"/>
    <w:rsid w:val="00243CB3"/>
    <w:rsid w:val="00247076"/>
    <w:rsid w:val="00247AEB"/>
    <w:rsid w:val="0025096B"/>
    <w:rsid w:val="00251F57"/>
    <w:rsid w:val="00255D39"/>
    <w:rsid w:val="00256273"/>
    <w:rsid w:val="00257DA1"/>
    <w:rsid w:val="00257F0D"/>
    <w:rsid w:val="002601D1"/>
    <w:rsid w:val="00274150"/>
    <w:rsid w:val="0028219B"/>
    <w:rsid w:val="00284F37"/>
    <w:rsid w:val="00285AA3"/>
    <w:rsid w:val="00287818"/>
    <w:rsid w:val="002878CD"/>
    <w:rsid w:val="00293B17"/>
    <w:rsid w:val="00293E95"/>
    <w:rsid w:val="002B1019"/>
    <w:rsid w:val="002B3CC1"/>
    <w:rsid w:val="002B5AE9"/>
    <w:rsid w:val="002C2CF5"/>
    <w:rsid w:val="002C7844"/>
    <w:rsid w:val="002D5A51"/>
    <w:rsid w:val="002E14B9"/>
    <w:rsid w:val="002E1AE5"/>
    <w:rsid w:val="002E25AE"/>
    <w:rsid w:val="002E59B0"/>
    <w:rsid w:val="002F27A6"/>
    <w:rsid w:val="002F3529"/>
    <w:rsid w:val="002F74D8"/>
    <w:rsid w:val="0030568B"/>
    <w:rsid w:val="00305CEA"/>
    <w:rsid w:val="00313D40"/>
    <w:rsid w:val="0031497C"/>
    <w:rsid w:val="00314BFD"/>
    <w:rsid w:val="003162A8"/>
    <w:rsid w:val="003212E2"/>
    <w:rsid w:val="00321348"/>
    <w:rsid w:val="00322F7D"/>
    <w:rsid w:val="00324C3B"/>
    <w:rsid w:val="003276F7"/>
    <w:rsid w:val="00330CBF"/>
    <w:rsid w:val="003527E4"/>
    <w:rsid w:val="00353029"/>
    <w:rsid w:val="003554F1"/>
    <w:rsid w:val="0035682E"/>
    <w:rsid w:val="0035726A"/>
    <w:rsid w:val="00361B75"/>
    <w:rsid w:val="00366DAA"/>
    <w:rsid w:val="00370C4A"/>
    <w:rsid w:val="00371514"/>
    <w:rsid w:val="00377A96"/>
    <w:rsid w:val="00383165"/>
    <w:rsid w:val="003832B4"/>
    <w:rsid w:val="00383F22"/>
    <w:rsid w:val="0038430C"/>
    <w:rsid w:val="0039330A"/>
    <w:rsid w:val="00396F61"/>
    <w:rsid w:val="003A1BE1"/>
    <w:rsid w:val="003A2FC7"/>
    <w:rsid w:val="003A5BBF"/>
    <w:rsid w:val="003A72FD"/>
    <w:rsid w:val="003B09B4"/>
    <w:rsid w:val="003B43BD"/>
    <w:rsid w:val="003B77EA"/>
    <w:rsid w:val="003C07E0"/>
    <w:rsid w:val="003C0E34"/>
    <w:rsid w:val="003D3F53"/>
    <w:rsid w:val="003D7E8C"/>
    <w:rsid w:val="003E1A4D"/>
    <w:rsid w:val="003E1F9D"/>
    <w:rsid w:val="003E3172"/>
    <w:rsid w:val="003F0024"/>
    <w:rsid w:val="003F7C5C"/>
    <w:rsid w:val="00406002"/>
    <w:rsid w:val="0041447A"/>
    <w:rsid w:val="00417F6F"/>
    <w:rsid w:val="004217DF"/>
    <w:rsid w:val="00422F98"/>
    <w:rsid w:val="00424E81"/>
    <w:rsid w:val="00425829"/>
    <w:rsid w:val="0043252E"/>
    <w:rsid w:val="004377E8"/>
    <w:rsid w:val="00437D01"/>
    <w:rsid w:val="00460369"/>
    <w:rsid w:val="0046106F"/>
    <w:rsid w:val="00461E85"/>
    <w:rsid w:val="004650D6"/>
    <w:rsid w:val="00480687"/>
    <w:rsid w:val="004813B8"/>
    <w:rsid w:val="00484034"/>
    <w:rsid w:val="0048564D"/>
    <w:rsid w:val="00491D8B"/>
    <w:rsid w:val="00492A06"/>
    <w:rsid w:val="00496F3A"/>
    <w:rsid w:val="004A3C99"/>
    <w:rsid w:val="004B0D70"/>
    <w:rsid w:val="004B46BB"/>
    <w:rsid w:val="004D3B07"/>
    <w:rsid w:val="004D5AD7"/>
    <w:rsid w:val="004D7438"/>
    <w:rsid w:val="004E573B"/>
    <w:rsid w:val="004F4F96"/>
    <w:rsid w:val="004F75E9"/>
    <w:rsid w:val="00506041"/>
    <w:rsid w:val="005066EA"/>
    <w:rsid w:val="00516CBF"/>
    <w:rsid w:val="005173E9"/>
    <w:rsid w:val="00526E0E"/>
    <w:rsid w:val="00533DC3"/>
    <w:rsid w:val="00534DF6"/>
    <w:rsid w:val="0054273A"/>
    <w:rsid w:val="00547141"/>
    <w:rsid w:val="00551023"/>
    <w:rsid w:val="0055234D"/>
    <w:rsid w:val="00554863"/>
    <w:rsid w:val="005549E1"/>
    <w:rsid w:val="0056198D"/>
    <w:rsid w:val="00563A49"/>
    <w:rsid w:val="005756F5"/>
    <w:rsid w:val="00583B32"/>
    <w:rsid w:val="005912CB"/>
    <w:rsid w:val="005917DB"/>
    <w:rsid w:val="00591BF1"/>
    <w:rsid w:val="0059542E"/>
    <w:rsid w:val="0059591E"/>
    <w:rsid w:val="005A6E99"/>
    <w:rsid w:val="005B31C2"/>
    <w:rsid w:val="005B57CC"/>
    <w:rsid w:val="005C77EB"/>
    <w:rsid w:val="005D1A40"/>
    <w:rsid w:val="005D44BC"/>
    <w:rsid w:val="005D5AC6"/>
    <w:rsid w:val="005D6A57"/>
    <w:rsid w:val="005D79BD"/>
    <w:rsid w:val="005E4AEA"/>
    <w:rsid w:val="005E79AB"/>
    <w:rsid w:val="005F2C1D"/>
    <w:rsid w:val="005F3914"/>
    <w:rsid w:val="005F3B90"/>
    <w:rsid w:val="00602086"/>
    <w:rsid w:val="0060214F"/>
    <w:rsid w:val="006069EC"/>
    <w:rsid w:val="00607132"/>
    <w:rsid w:val="00611CF8"/>
    <w:rsid w:val="006146E9"/>
    <w:rsid w:val="00614B8D"/>
    <w:rsid w:val="00621E3C"/>
    <w:rsid w:val="00624035"/>
    <w:rsid w:val="0062543F"/>
    <w:rsid w:val="00627C10"/>
    <w:rsid w:val="00630D9E"/>
    <w:rsid w:val="006370A9"/>
    <w:rsid w:val="00640D28"/>
    <w:rsid w:val="006410BA"/>
    <w:rsid w:val="00642061"/>
    <w:rsid w:val="006421B1"/>
    <w:rsid w:val="006436BC"/>
    <w:rsid w:val="0064550B"/>
    <w:rsid w:val="006517B5"/>
    <w:rsid w:val="00670A1B"/>
    <w:rsid w:val="00670BD5"/>
    <w:rsid w:val="00673848"/>
    <w:rsid w:val="00674532"/>
    <w:rsid w:val="006745E5"/>
    <w:rsid w:val="006764D8"/>
    <w:rsid w:val="0068004B"/>
    <w:rsid w:val="006B0D6C"/>
    <w:rsid w:val="006B1FD3"/>
    <w:rsid w:val="006B6684"/>
    <w:rsid w:val="006B7CB5"/>
    <w:rsid w:val="006C0EB7"/>
    <w:rsid w:val="006C3BE9"/>
    <w:rsid w:val="006C5E10"/>
    <w:rsid w:val="006C6C51"/>
    <w:rsid w:val="006D1A0A"/>
    <w:rsid w:val="006D274A"/>
    <w:rsid w:val="006D3A34"/>
    <w:rsid w:val="006D78B6"/>
    <w:rsid w:val="006E242E"/>
    <w:rsid w:val="006E5039"/>
    <w:rsid w:val="006F091E"/>
    <w:rsid w:val="006F2EF3"/>
    <w:rsid w:val="006F5AAB"/>
    <w:rsid w:val="00705845"/>
    <w:rsid w:val="00716B00"/>
    <w:rsid w:val="007179FE"/>
    <w:rsid w:val="0073172B"/>
    <w:rsid w:val="00744855"/>
    <w:rsid w:val="0074575D"/>
    <w:rsid w:val="00745F4F"/>
    <w:rsid w:val="007465E5"/>
    <w:rsid w:val="00753026"/>
    <w:rsid w:val="00754621"/>
    <w:rsid w:val="00757DE1"/>
    <w:rsid w:val="007624F6"/>
    <w:rsid w:val="00763AB3"/>
    <w:rsid w:val="00763C6E"/>
    <w:rsid w:val="00763FE9"/>
    <w:rsid w:val="00766A43"/>
    <w:rsid w:val="007811F6"/>
    <w:rsid w:val="007832F0"/>
    <w:rsid w:val="00783742"/>
    <w:rsid w:val="007870DF"/>
    <w:rsid w:val="00795689"/>
    <w:rsid w:val="007973E2"/>
    <w:rsid w:val="007A5035"/>
    <w:rsid w:val="007B124C"/>
    <w:rsid w:val="007B19FC"/>
    <w:rsid w:val="007C0E0D"/>
    <w:rsid w:val="007C3CC2"/>
    <w:rsid w:val="007C4FBA"/>
    <w:rsid w:val="007C5A25"/>
    <w:rsid w:val="007D3151"/>
    <w:rsid w:val="007E035A"/>
    <w:rsid w:val="007E73C8"/>
    <w:rsid w:val="0080076E"/>
    <w:rsid w:val="00802C4D"/>
    <w:rsid w:val="00802F52"/>
    <w:rsid w:val="0080580F"/>
    <w:rsid w:val="00806353"/>
    <w:rsid w:val="00814C0A"/>
    <w:rsid w:val="00826236"/>
    <w:rsid w:val="0083142E"/>
    <w:rsid w:val="00831957"/>
    <w:rsid w:val="00831B9B"/>
    <w:rsid w:val="00831F65"/>
    <w:rsid w:val="00832251"/>
    <w:rsid w:val="008322BB"/>
    <w:rsid w:val="00832B3B"/>
    <w:rsid w:val="00832F63"/>
    <w:rsid w:val="008431D7"/>
    <w:rsid w:val="00845853"/>
    <w:rsid w:val="008519BE"/>
    <w:rsid w:val="00853E61"/>
    <w:rsid w:val="0085592C"/>
    <w:rsid w:val="008707BD"/>
    <w:rsid w:val="00872E15"/>
    <w:rsid w:val="00874043"/>
    <w:rsid w:val="0087522A"/>
    <w:rsid w:val="00886314"/>
    <w:rsid w:val="00886ACD"/>
    <w:rsid w:val="008906E4"/>
    <w:rsid w:val="00892C9D"/>
    <w:rsid w:val="008940CB"/>
    <w:rsid w:val="008B01CD"/>
    <w:rsid w:val="008B06D2"/>
    <w:rsid w:val="008B5E1E"/>
    <w:rsid w:val="008B65E0"/>
    <w:rsid w:val="008C748B"/>
    <w:rsid w:val="008D2E5F"/>
    <w:rsid w:val="008D582E"/>
    <w:rsid w:val="008D7C65"/>
    <w:rsid w:val="008E09C8"/>
    <w:rsid w:val="008E18FB"/>
    <w:rsid w:val="008E3704"/>
    <w:rsid w:val="008F5462"/>
    <w:rsid w:val="00902AA0"/>
    <w:rsid w:val="00902E5A"/>
    <w:rsid w:val="00903F16"/>
    <w:rsid w:val="00906F37"/>
    <w:rsid w:val="00912805"/>
    <w:rsid w:val="00914051"/>
    <w:rsid w:val="0091498E"/>
    <w:rsid w:val="00931721"/>
    <w:rsid w:val="00931EF6"/>
    <w:rsid w:val="00932904"/>
    <w:rsid w:val="00932DC4"/>
    <w:rsid w:val="00934024"/>
    <w:rsid w:val="009361FA"/>
    <w:rsid w:val="00936721"/>
    <w:rsid w:val="009405F6"/>
    <w:rsid w:val="00940C60"/>
    <w:rsid w:val="00952692"/>
    <w:rsid w:val="00952956"/>
    <w:rsid w:val="00955878"/>
    <w:rsid w:val="009600BC"/>
    <w:rsid w:val="009616A6"/>
    <w:rsid w:val="00962FBF"/>
    <w:rsid w:val="00965722"/>
    <w:rsid w:val="009741B2"/>
    <w:rsid w:val="00975ABA"/>
    <w:rsid w:val="00975EB7"/>
    <w:rsid w:val="00977433"/>
    <w:rsid w:val="00990660"/>
    <w:rsid w:val="0099671F"/>
    <w:rsid w:val="0099750A"/>
    <w:rsid w:val="009A1FC4"/>
    <w:rsid w:val="009A2742"/>
    <w:rsid w:val="009A4E92"/>
    <w:rsid w:val="009A5689"/>
    <w:rsid w:val="009A7FDF"/>
    <w:rsid w:val="009C2132"/>
    <w:rsid w:val="009C5F97"/>
    <w:rsid w:val="009D4326"/>
    <w:rsid w:val="009D6E53"/>
    <w:rsid w:val="009E69E7"/>
    <w:rsid w:val="009F034B"/>
    <w:rsid w:val="009F626B"/>
    <w:rsid w:val="009F7D0F"/>
    <w:rsid w:val="00A02211"/>
    <w:rsid w:val="00A14F0E"/>
    <w:rsid w:val="00A15707"/>
    <w:rsid w:val="00A20283"/>
    <w:rsid w:val="00A21329"/>
    <w:rsid w:val="00A21FA1"/>
    <w:rsid w:val="00A220F3"/>
    <w:rsid w:val="00A24CB8"/>
    <w:rsid w:val="00A34A0A"/>
    <w:rsid w:val="00A411E9"/>
    <w:rsid w:val="00A41B25"/>
    <w:rsid w:val="00A45C5E"/>
    <w:rsid w:val="00A50477"/>
    <w:rsid w:val="00A52142"/>
    <w:rsid w:val="00A617B3"/>
    <w:rsid w:val="00A61A92"/>
    <w:rsid w:val="00A67092"/>
    <w:rsid w:val="00A67AE7"/>
    <w:rsid w:val="00A71989"/>
    <w:rsid w:val="00A83D69"/>
    <w:rsid w:val="00A976FB"/>
    <w:rsid w:val="00AA1F3E"/>
    <w:rsid w:val="00AA3D62"/>
    <w:rsid w:val="00AA763F"/>
    <w:rsid w:val="00AB44BB"/>
    <w:rsid w:val="00AC651A"/>
    <w:rsid w:val="00AC7E1B"/>
    <w:rsid w:val="00AD227F"/>
    <w:rsid w:val="00AD423F"/>
    <w:rsid w:val="00AD463B"/>
    <w:rsid w:val="00AE0ACF"/>
    <w:rsid w:val="00B06810"/>
    <w:rsid w:val="00B06E35"/>
    <w:rsid w:val="00B10B14"/>
    <w:rsid w:val="00B13957"/>
    <w:rsid w:val="00B17092"/>
    <w:rsid w:val="00B173FB"/>
    <w:rsid w:val="00B230CF"/>
    <w:rsid w:val="00B33172"/>
    <w:rsid w:val="00B355AF"/>
    <w:rsid w:val="00B360E9"/>
    <w:rsid w:val="00B3751F"/>
    <w:rsid w:val="00B41CD0"/>
    <w:rsid w:val="00B42C8B"/>
    <w:rsid w:val="00B43832"/>
    <w:rsid w:val="00B547F0"/>
    <w:rsid w:val="00B56BBE"/>
    <w:rsid w:val="00B606B7"/>
    <w:rsid w:val="00B649A0"/>
    <w:rsid w:val="00B7244B"/>
    <w:rsid w:val="00B80357"/>
    <w:rsid w:val="00B809A6"/>
    <w:rsid w:val="00B80E36"/>
    <w:rsid w:val="00BA30B5"/>
    <w:rsid w:val="00BA6307"/>
    <w:rsid w:val="00BA6528"/>
    <w:rsid w:val="00BB215D"/>
    <w:rsid w:val="00BB60B7"/>
    <w:rsid w:val="00BC0D1F"/>
    <w:rsid w:val="00BC3638"/>
    <w:rsid w:val="00BC3D7B"/>
    <w:rsid w:val="00BC7F8C"/>
    <w:rsid w:val="00BD114F"/>
    <w:rsid w:val="00BD2C0F"/>
    <w:rsid w:val="00BD7883"/>
    <w:rsid w:val="00BE1B62"/>
    <w:rsid w:val="00BE4E28"/>
    <w:rsid w:val="00BE6EE4"/>
    <w:rsid w:val="00BF32F7"/>
    <w:rsid w:val="00BF35EC"/>
    <w:rsid w:val="00BF711F"/>
    <w:rsid w:val="00C00636"/>
    <w:rsid w:val="00C01DF5"/>
    <w:rsid w:val="00C10212"/>
    <w:rsid w:val="00C12BBA"/>
    <w:rsid w:val="00C367B2"/>
    <w:rsid w:val="00C4046D"/>
    <w:rsid w:val="00C46EB4"/>
    <w:rsid w:val="00C530D7"/>
    <w:rsid w:val="00C53CD7"/>
    <w:rsid w:val="00C574E3"/>
    <w:rsid w:val="00C63802"/>
    <w:rsid w:val="00C70162"/>
    <w:rsid w:val="00C70A62"/>
    <w:rsid w:val="00C90727"/>
    <w:rsid w:val="00C9258E"/>
    <w:rsid w:val="00C97DCA"/>
    <w:rsid w:val="00CA2060"/>
    <w:rsid w:val="00CA2E5A"/>
    <w:rsid w:val="00CA49A8"/>
    <w:rsid w:val="00CA5DCF"/>
    <w:rsid w:val="00CB361A"/>
    <w:rsid w:val="00CB3790"/>
    <w:rsid w:val="00CB671E"/>
    <w:rsid w:val="00CC0388"/>
    <w:rsid w:val="00CC5040"/>
    <w:rsid w:val="00CD26D2"/>
    <w:rsid w:val="00CD2DE2"/>
    <w:rsid w:val="00CD78F1"/>
    <w:rsid w:val="00CE0CD5"/>
    <w:rsid w:val="00CE6319"/>
    <w:rsid w:val="00CF18BD"/>
    <w:rsid w:val="00CF1C3F"/>
    <w:rsid w:val="00CF2709"/>
    <w:rsid w:val="00CF33DE"/>
    <w:rsid w:val="00D03B9F"/>
    <w:rsid w:val="00D11910"/>
    <w:rsid w:val="00D20142"/>
    <w:rsid w:val="00D23ABD"/>
    <w:rsid w:val="00D278F0"/>
    <w:rsid w:val="00D435BC"/>
    <w:rsid w:val="00D45A4C"/>
    <w:rsid w:val="00D46F0D"/>
    <w:rsid w:val="00D50E9A"/>
    <w:rsid w:val="00D5438F"/>
    <w:rsid w:val="00D60D6C"/>
    <w:rsid w:val="00D62EB3"/>
    <w:rsid w:val="00D64BD6"/>
    <w:rsid w:val="00D66B36"/>
    <w:rsid w:val="00D67226"/>
    <w:rsid w:val="00D6750E"/>
    <w:rsid w:val="00D67720"/>
    <w:rsid w:val="00D71BDF"/>
    <w:rsid w:val="00D73F50"/>
    <w:rsid w:val="00D7501F"/>
    <w:rsid w:val="00D81B19"/>
    <w:rsid w:val="00D82334"/>
    <w:rsid w:val="00D86415"/>
    <w:rsid w:val="00D8794C"/>
    <w:rsid w:val="00D954DE"/>
    <w:rsid w:val="00DA2162"/>
    <w:rsid w:val="00DA53ED"/>
    <w:rsid w:val="00DA691E"/>
    <w:rsid w:val="00DB5974"/>
    <w:rsid w:val="00DC01CC"/>
    <w:rsid w:val="00DC0436"/>
    <w:rsid w:val="00DC244F"/>
    <w:rsid w:val="00DD5277"/>
    <w:rsid w:val="00DD5796"/>
    <w:rsid w:val="00DD634A"/>
    <w:rsid w:val="00DD65D6"/>
    <w:rsid w:val="00DE055F"/>
    <w:rsid w:val="00DE2F89"/>
    <w:rsid w:val="00DF3AEF"/>
    <w:rsid w:val="00DF45FE"/>
    <w:rsid w:val="00DF79F2"/>
    <w:rsid w:val="00E11D99"/>
    <w:rsid w:val="00E11FFB"/>
    <w:rsid w:val="00E1281C"/>
    <w:rsid w:val="00E15748"/>
    <w:rsid w:val="00E20033"/>
    <w:rsid w:val="00E24611"/>
    <w:rsid w:val="00E24AF0"/>
    <w:rsid w:val="00E27DA1"/>
    <w:rsid w:val="00E304BB"/>
    <w:rsid w:val="00E32959"/>
    <w:rsid w:val="00E37614"/>
    <w:rsid w:val="00E411F4"/>
    <w:rsid w:val="00E45590"/>
    <w:rsid w:val="00E54D68"/>
    <w:rsid w:val="00E54EBE"/>
    <w:rsid w:val="00E5613A"/>
    <w:rsid w:val="00E60B22"/>
    <w:rsid w:val="00E61957"/>
    <w:rsid w:val="00E61E46"/>
    <w:rsid w:val="00E67964"/>
    <w:rsid w:val="00E7214F"/>
    <w:rsid w:val="00E76065"/>
    <w:rsid w:val="00E76E6B"/>
    <w:rsid w:val="00E90864"/>
    <w:rsid w:val="00E9474C"/>
    <w:rsid w:val="00E97589"/>
    <w:rsid w:val="00EA2D3B"/>
    <w:rsid w:val="00EA3B5D"/>
    <w:rsid w:val="00EA5972"/>
    <w:rsid w:val="00EB1B28"/>
    <w:rsid w:val="00EB4BC0"/>
    <w:rsid w:val="00EB56A7"/>
    <w:rsid w:val="00EB6075"/>
    <w:rsid w:val="00EC2002"/>
    <w:rsid w:val="00ED44C6"/>
    <w:rsid w:val="00EE2D3D"/>
    <w:rsid w:val="00EE2FA1"/>
    <w:rsid w:val="00EE689E"/>
    <w:rsid w:val="00EF0145"/>
    <w:rsid w:val="00EF25C7"/>
    <w:rsid w:val="00EF2672"/>
    <w:rsid w:val="00EF77FE"/>
    <w:rsid w:val="00F07AC3"/>
    <w:rsid w:val="00F12905"/>
    <w:rsid w:val="00F31747"/>
    <w:rsid w:val="00F378E8"/>
    <w:rsid w:val="00F47DEC"/>
    <w:rsid w:val="00F53A97"/>
    <w:rsid w:val="00F577C9"/>
    <w:rsid w:val="00F579EF"/>
    <w:rsid w:val="00F66693"/>
    <w:rsid w:val="00F7532D"/>
    <w:rsid w:val="00F76226"/>
    <w:rsid w:val="00F76273"/>
    <w:rsid w:val="00F836CC"/>
    <w:rsid w:val="00FA1B50"/>
    <w:rsid w:val="00FA3001"/>
    <w:rsid w:val="00FB0685"/>
    <w:rsid w:val="00FB17F0"/>
    <w:rsid w:val="00FB3C4D"/>
    <w:rsid w:val="00FC6842"/>
    <w:rsid w:val="00FC6980"/>
    <w:rsid w:val="00FC6B5A"/>
    <w:rsid w:val="00FD3F92"/>
    <w:rsid w:val="00FE4BCB"/>
    <w:rsid w:val="00FE5D9A"/>
    <w:rsid w:val="00FE684E"/>
    <w:rsid w:val="0B701800"/>
    <w:rsid w:val="11F5748F"/>
    <w:rsid w:val="4C6A1879"/>
    <w:rsid w:val="6D903FA2"/>
    <w:rsid w:val="73496B4B"/>
    <w:rsid w:val="7DAE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仿宋"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Arial" w:hAnsi="Arial" w:eastAsia="仿宋" w:cstheme="minorBidi"/>
      <w:kern w:val="2"/>
      <w:sz w:val="32"/>
      <w:szCs w:val="30"/>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32"/>
    <w:unhideWhenUsed/>
    <w:qFormat/>
    <w:uiPriority w:val="9"/>
    <w:pPr>
      <w:keepNext/>
      <w:keepLines/>
      <w:spacing w:before="260" w:after="260" w:line="416" w:lineRule="auto"/>
      <w:outlineLvl w:val="2"/>
    </w:pPr>
    <w:rPr>
      <w:rFonts w:ascii="Times New Roman" w:hAnsi="Times New Roman" w:eastAsia="宋体" w:cs="Times New Roman"/>
      <w:b/>
      <w:bCs/>
      <w:szCs w:val="32"/>
    </w:rPr>
  </w:style>
  <w:style w:type="paragraph" w:styleId="5">
    <w:name w:val="heading 4"/>
    <w:basedOn w:val="1"/>
    <w:next w:val="1"/>
    <w:link w:val="36"/>
    <w:qFormat/>
    <w:uiPriority w:val="9"/>
    <w:pPr>
      <w:keepNext/>
      <w:keepLines/>
      <w:adjustRightInd w:val="0"/>
      <w:snapToGrid w:val="0"/>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37"/>
    <w:qFormat/>
    <w:uiPriority w:val="9"/>
    <w:pPr>
      <w:keepNext/>
      <w:keepLines/>
      <w:adjustRightInd w:val="0"/>
      <w:snapToGrid w:val="0"/>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38"/>
    <w:qFormat/>
    <w:uiPriority w:val="9"/>
    <w:pPr>
      <w:keepNext/>
      <w:keepLines/>
      <w:adjustRightInd w:val="0"/>
      <w:snapToGrid w:val="0"/>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9"/>
    <w:semiHidden/>
    <w:unhideWhenUsed/>
    <w:qFormat/>
    <w:uiPriority w:val="9"/>
    <w:pPr>
      <w:keepNext/>
      <w:keepLines/>
      <w:adjustRightInd w:val="0"/>
      <w:snapToGrid w:val="0"/>
      <w:spacing w:before="240" w:after="64" w:line="320" w:lineRule="atLeast"/>
      <w:outlineLvl w:val="6"/>
    </w:pPr>
    <w:rPr>
      <w:rFonts w:ascii="仿宋" w:hAnsiTheme="minorHAnsi"/>
      <w:b/>
      <w:bCs/>
      <w:sz w:val="24"/>
      <w:szCs w:val="24"/>
    </w:rPr>
  </w:style>
  <w:style w:type="paragraph" w:styleId="9">
    <w:name w:val="heading 8"/>
    <w:basedOn w:val="1"/>
    <w:next w:val="1"/>
    <w:link w:val="40"/>
    <w:semiHidden/>
    <w:unhideWhenUsed/>
    <w:qFormat/>
    <w:uiPriority w:val="9"/>
    <w:pPr>
      <w:keepNext/>
      <w:keepLines/>
      <w:adjustRightInd w:val="0"/>
      <w:snapToGrid w:val="0"/>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41"/>
    <w:semiHidden/>
    <w:unhideWhenUsed/>
    <w:qFormat/>
    <w:uiPriority w:val="9"/>
    <w:pPr>
      <w:keepNext/>
      <w:keepLines/>
      <w:adjustRightInd w:val="0"/>
      <w:snapToGrid w:val="0"/>
      <w:spacing w:before="240" w:after="64" w:line="320" w:lineRule="atLeast"/>
      <w:outlineLvl w:val="8"/>
    </w:pPr>
    <w:rPr>
      <w:rFonts w:asciiTheme="majorHAnsi" w:hAnsiTheme="majorHAnsi" w:eastAsiaTheme="majorEastAsia" w:cstheme="majorBidi"/>
      <w:sz w:val="21"/>
      <w:szCs w:val="21"/>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losing"/>
    <w:basedOn w:val="1"/>
    <w:link w:val="33"/>
    <w:uiPriority w:val="0"/>
    <w:pPr>
      <w:ind w:left="100" w:leftChars="2100"/>
    </w:pPr>
    <w:rPr>
      <w:rFonts w:ascii="Times New Roman" w:hAnsi="Times New Roman" w:eastAsia="宋体" w:cs="Times New Roman"/>
      <w:sz w:val="30"/>
      <w:szCs w:val="24"/>
    </w:rPr>
  </w:style>
  <w:style w:type="paragraph" w:styleId="12">
    <w:name w:val="Body Text"/>
    <w:basedOn w:val="1"/>
    <w:link w:val="42"/>
    <w:qFormat/>
    <w:uiPriority w:val="1"/>
    <w:pPr>
      <w:spacing w:before="181" w:after="200" w:line="276" w:lineRule="auto"/>
      <w:ind w:left="761"/>
      <w:jc w:val="left"/>
    </w:pPr>
    <w:rPr>
      <w:rFonts w:ascii="宋体" w:hAnsi="宋体" w:eastAsia="宋体"/>
      <w:kern w:val="0"/>
      <w:szCs w:val="32"/>
      <w:lang w:eastAsia="en-US"/>
    </w:rPr>
  </w:style>
  <w:style w:type="paragraph" w:styleId="13">
    <w:name w:val="Plain Text"/>
    <w:basedOn w:val="1"/>
    <w:link w:val="30"/>
    <w:unhideWhenUsed/>
    <w:qFormat/>
    <w:uiPriority w:val="0"/>
    <w:rPr>
      <w:rFonts w:ascii="宋体" w:hAnsi="Courier New" w:eastAsia="宋体" w:cs="Courier New"/>
      <w:sz w:val="21"/>
      <w:szCs w:val="21"/>
    </w:rPr>
  </w:style>
  <w:style w:type="paragraph" w:styleId="14">
    <w:name w:val="Date"/>
    <w:basedOn w:val="1"/>
    <w:next w:val="1"/>
    <w:link w:val="31"/>
    <w:semiHidden/>
    <w:unhideWhenUsed/>
    <w:qFormat/>
    <w:uiPriority w:val="99"/>
    <w:pPr>
      <w:ind w:left="100" w:leftChars="2500"/>
    </w:pPr>
  </w:style>
  <w:style w:type="paragraph" w:styleId="15">
    <w:name w:val="Balloon Text"/>
    <w:basedOn w:val="1"/>
    <w:link w:val="27"/>
    <w:semiHidden/>
    <w:unhideWhenUsed/>
    <w:qFormat/>
    <w:uiPriority w:val="99"/>
    <w:rPr>
      <w:sz w:val="18"/>
      <w:szCs w:val="18"/>
    </w:rPr>
  </w:style>
  <w:style w:type="paragraph" w:styleId="16">
    <w:name w:val="footer"/>
    <w:basedOn w:val="1"/>
    <w:link w:val="26"/>
    <w:unhideWhenUsed/>
    <w:qFormat/>
    <w:uiPriority w:val="99"/>
    <w:pPr>
      <w:tabs>
        <w:tab w:val="center" w:pos="4153"/>
        <w:tab w:val="right" w:pos="8306"/>
      </w:tabs>
      <w:snapToGrid w:val="0"/>
      <w:jc w:val="left"/>
    </w:pPr>
    <w:rPr>
      <w:sz w:val="18"/>
      <w:szCs w:val="18"/>
    </w:rPr>
  </w:style>
  <w:style w:type="paragraph" w:styleId="1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Emphasis"/>
    <w:basedOn w:val="22"/>
    <w:qFormat/>
    <w:uiPriority w:val="20"/>
    <w:rPr>
      <w:i/>
      <w:i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customStyle="1" w:styleId="25">
    <w:name w:val="页眉 Char"/>
    <w:basedOn w:val="22"/>
    <w:link w:val="17"/>
    <w:qFormat/>
    <w:uiPriority w:val="99"/>
    <w:rPr>
      <w:sz w:val="18"/>
      <w:szCs w:val="18"/>
    </w:rPr>
  </w:style>
  <w:style w:type="character" w:customStyle="1" w:styleId="26">
    <w:name w:val="页脚 Char"/>
    <w:basedOn w:val="22"/>
    <w:link w:val="16"/>
    <w:qFormat/>
    <w:uiPriority w:val="99"/>
    <w:rPr>
      <w:sz w:val="18"/>
      <w:szCs w:val="18"/>
    </w:rPr>
  </w:style>
  <w:style w:type="character" w:customStyle="1" w:styleId="27">
    <w:name w:val="批注框文本 Char"/>
    <w:basedOn w:val="22"/>
    <w:link w:val="15"/>
    <w:semiHidden/>
    <w:qFormat/>
    <w:uiPriority w:val="99"/>
    <w:rPr>
      <w:sz w:val="18"/>
      <w:szCs w:val="18"/>
    </w:rPr>
  </w:style>
  <w:style w:type="character" w:customStyle="1" w:styleId="28">
    <w:name w:val="HTML 预设格式 Char"/>
    <w:basedOn w:val="22"/>
    <w:link w:val="18"/>
    <w:qFormat/>
    <w:uiPriority w:val="0"/>
    <w:rPr>
      <w:rFonts w:ascii="黑体" w:hAnsi="Courier New" w:eastAsia="黑体" w:cs="Courier New"/>
      <w:kern w:val="0"/>
      <w:sz w:val="20"/>
      <w:szCs w:val="20"/>
    </w:rPr>
  </w:style>
  <w:style w:type="paragraph" w:styleId="29">
    <w:name w:val="List Paragraph"/>
    <w:basedOn w:val="1"/>
    <w:qFormat/>
    <w:uiPriority w:val="99"/>
    <w:pPr>
      <w:ind w:firstLine="420" w:firstLineChars="200"/>
    </w:pPr>
    <w:rPr>
      <w:rFonts w:ascii="Times New Roman" w:hAnsi="Times New Roman" w:eastAsia="宋体" w:cs="Times New Roman"/>
      <w:sz w:val="21"/>
      <w:szCs w:val="20"/>
    </w:rPr>
  </w:style>
  <w:style w:type="character" w:customStyle="1" w:styleId="30">
    <w:name w:val="纯文本 Char"/>
    <w:basedOn w:val="22"/>
    <w:link w:val="13"/>
    <w:qFormat/>
    <w:uiPriority w:val="0"/>
    <w:rPr>
      <w:rFonts w:ascii="宋体" w:hAnsi="Courier New" w:eastAsia="宋体" w:cs="Courier New"/>
      <w:sz w:val="21"/>
      <w:szCs w:val="21"/>
    </w:rPr>
  </w:style>
  <w:style w:type="character" w:customStyle="1" w:styleId="31">
    <w:name w:val="日期 Char"/>
    <w:basedOn w:val="22"/>
    <w:link w:val="14"/>
    <w:semiHidden/>
    <w:qFormat/>
    <w:uiPriority w:val="99"/>
  </w:style>
  <w:style w:type="character" w:customStyle="1" w:styleId="32">
    <w:name w:val="标题 3 Char"/>
    <w:basedOn w:val="22"/>
    <w:link w:val="4"/>
    <w:qFormat/>
    <w:uiPriority w:val="9"/>
    <w:rPr>
      <w:rFonts w:ascii="Times New Roman" w:hAnsi="Times New Roman" w:eastAsia="宋体" w:cs="Times New Roman"/>
      <w:b/>
      <w:bCs/>
      <w:szCs w:val="32"/>
    </w:rPr>
  </w:style>
  <w:style w:type="character" w:customStyle="1" w:styleId="33">
    <w:name w:val="结束语 Char"/>
    <w:basedOn w:val="22"/>
    <w:link w:val="11"/>
    <w:qFormat/>
    <w:uiPriority w:val="0"/>
    <w:rPr>
      <w:rFonts w:ascii="Times New Roman" w:hAnsi="Times New Roman" w:eastAsia="宋体" w:cs="Times New Roman"/>
      <w:sz w:val="30"/>
      <w:szCs w:val="24"/>
    </w:rPr>
  </w:style>
  <w:style w:type="character" w:customStyle="1" w:styleId="34">
    <w:name w:val="标题 1 Char"/>
    <w:basedOn w:val="22"/>
    <w:link w:val="2"/>
    <w:qFormat/>
    <w:uiPriority w:val="9"/>
    <w:rPr>
      <w:b/>
      <w:bCs/>
      <w:kern w:val="44"/>
      <w:sz w:val="44"/>
      <w:szCs w:val="44"/>
    </w:rPr>
  </w:style>
  <w:style w:type="character" w:customStyle="1" w:styleId="35">
    <w:name w:val="标题 2 Char"/>
    <w:basedOn w:val="22"/>
    <w:link w:val="3"/>
    <w:qFormat/>
    <w:uiPriority w:val="9"/>
    <w:rPr>
      <w:rFonts w:asciiTheme="majorHAnsi" w:hAnsiTheme="majorHAnsi" w:eastAsiaTheme="majorEastAsia" w:cstheme="majorBidi"/>
      <w:b/>
      <w:bCs/>
      <w:szCs w:val="32"/>
    </w:rPr>
  </w:style>
  <w:style w:type="character" w:customStyle="1" w:styleId="36">
    <w:name w:val="标题 4 Char"/>
    <w:basedOn w:val="22"/>
    <w:link w:val="5"/>
    <w:qFormat/>
    <w:uiPriority w:val="9"/>
    <w:rPr>
      <w:rFonts w:ascii="Cambria" w:hAnsi="Cambria" w:eastAsia="宋体" w:cs="Times New Roman"/>
      <w:b/>
      <w:bCs/>
      <w:sz w:val="28"/>
      <w:szCs w:val="28"/>
    </w:rPr>
  </w:style>
  <w:style w:type="character" w:customStyle="1" w:styleId="37">
    <w:name w:val="标题 5 Char"/>
    <w:basedOn w:val="22"/>
    <w:link w:val="6"/>
    <w:qFormat/>
    <w:uiPriority w:val="9"/>
    <w:rPr>
      <w:rFonts w:ascii="Calibri" w:hAnsi="Calibri" w:eastAsia="宋体" w:cs="Times New Roman"/>
      <w:b/>
      <w:bCs/>
      <w:sz w:val="28"/>
      <w:szCs w:val="28"/>
    </w:rPr>
  </w:style>
  <w:style w:type="character" w:customStyle="1" w:styleId="38">
    <w:name w:val="标题 6 Char"/>
    <w:basedOn w:val="22"/>
    <w:link w:val="7"/>
    <w:qFormat/>
    <w:uiPriority w:val="9"/>
    <w:rPr>
      <w:rFonts w:ascii="Cambria" w:hAnsi="Cambria" w:eastAsia="宋体" w:cs="Times New Roman"/>
      <w:b/>
      <w:bCs/>
      <w:sz w:val="24"/>
      <w:szCs w:val="24"/>
    </w:rPr>
  </w:style>
  <w:style w:type="character" w:customStyle="1" w:styleId="39">
    <w:name w:val="标题 7 Char"/>
    <w:basedOn w:val="22"/>
    <w:link w:val="8"/>
    <w:semiHidden/>
    <w:qFormat/>
    <w:uiPriority w:val="9"/>
    <w:rPr>
      <w:rFonts w:ascii="仿宋" w:hAnsiTheme="minorHAnsi"/>
      <w:b/>
      <w:bCs/>
      <w:sz w:val="24"/>
      <w:szCs w:val="24"/>
    </w:rPr>
  </w:style>
  <w:style w:type="character" w:customStyle="1" w:styleId="40">
    <w:name w:val="标题 8 Char"/>
    <w:basedOn w:val="22"/>
    <w:link w:val="9"/>
    <w:semiHidden/>
    <w:qFormat/>
    <w:uiPriority w:val="9"/>
    <w:rPr>
      <w:rFonts w:asciiTheme="majorHAnsi" w:hAnsiTheme="majorHAnsi" w:eastAsiaTheme="majorEastAsia" w:cstheme="majorBidi"/>
      <w:sz w:val="24"/>
      <w:szCs w:val="24"/>
    </w:rPr>
  </w:style>
  <w:style w:type="character" w:customStyle="1" w:styleId="41">
    <w:name w:val="标题 9 Char"/>
    <w:basedOn w:val="22"/>
    <w:link w:val="10"/>
    <w:semiHidden/>
    <w:qFormat/>
    <w:uiPriority w:val="9"/>
    <w:rPr>
      <w:rFonts w:asciiTheme="majorHAnsi" w:hAnsiTheme="majorHAnsi" w:eastAsiaTheme="majorEastAsia" w:cstheme="majorBidi"/>
      <w:sz w:val="21"/>
      <w:szCs w:val="21"/>
    </w:rPr>
  </w:style>
  <w:style w:type="character" w:customStyle="1" w:styleId="42">
    <w:name w:val="正文文本 Char"/>
    <w:basedOn w:val="22"/>
    <w:link w:val="12"/>
    <w:qFormat/>
    <w:uiPriority w:val="1"/>
    <w:rPr>
      <w:rFonts w:ascii="宋体" w:hAnsi="宋体" w:eastAsia="宋体"/>
      <w:kern w:val="0"/>
      <w:szCs w:val="3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C91F0-C9C0-42E8-880C-38718E1CCAE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1674</Words>
  <Characters>1836</Characters>
  <Lines>3</Lines>
  <Paragraphs>4</Paragraphs>
  <TotalTime>1</TotalTime>
  <ScaleCrop>false</ScaleCrop>
  <LinksUpToDate>false</LinksUpToDate>
  <CharactersWithSpaces>1903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2022-07-05T06:54:00Z</dcterms:created>
  <dc:creator>win7</dc:creator>
  <cp:lastModifiedBy>MLZ</cp:lastModifiedBy>
  <cp:lastPrinted>2022-07-06T06:47:00Z</cp:lastPrinted>
  <dcterms:modified xsi:type="dcterms:W3CDTF">2022-07-11T01:23:53Z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11790C42EF4445CDA0FBF4FCC9B3C064</vt:lpwstr>
  </property>
</Properties>
</file>