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662" w:rsidRPr="00A00363" w:rsidRDefault="00422662" w:rsidP="00DF3BAB">
      <w:pPr>
        <w:spacing w:line="560" w:lineRule="exact"/>
        <w:rPr>
          <w:rFonts w:ascii="仿宋" w:eastAsia="仿宋" w:hAnsi="仿宋"/>
          <w:color w:val="000000"/>
          <w:sz w:val="32"/>
          <w:szCs w:val="32"/>
        </w:rPr>
      </w:pPr>
      <w:bookmarkStart w:id="0" w:name="_Toc70352799"/>
      <w:r w:rsidRPr="00A00363">
        <w:rPr>
          <w:rFonts w:ascii="仿宋" w:eastAsia="仿宋" w:hAnsi="仿宋" w:hint="eastAsia"/>
          <w:color w:val="000000"/>
          <w:sz w:val="32"/>
          <w:szCs w:val="32"/>
        </w:rPr>
        <w:t>附件</w:t>
      </w:r>
      <w:r w:rsidRPr="00A00363">
        <w:rPr>
          <w:rFonts w:ascii="仿宋" w:eastAsia="仿宋" w:hAnsi="仿宋"/>
          <w:color w:val="000000"/>
          <w:sz w:val="32"/>
          <w:szCs w:val="32"/>
        </w:rPr>
        <w:t>1</w:t>
      </w:r>
    </w:p>
    <w:p w:rsidR="00422662" w:rsidRPr="00DF3BAB" w:rsidRDefault="00422662" w:rsidP="00DF3BAB"/>
    <w:p w:rsidR="00422662" w:rsidRPr="007D00D9" w:rsidRDefault="00422662" w:rsidP="008A799D">
      <w:pPr>
        <w:keepNext/>
        <w:keepLines/>
        <w:tabs>
          <w:tab w:val="left" w:pos="1134"/>
        </w:tabs>
        <w:adjustRightInd w:val="0"/>
        <w:snapToGrid w:val="0"/>
        <w:spacing w:line="360" w:lineRule="auto"/>
        <w:ind w:firstLineChars="96" w:firstLine="31680"/>
        <w:jc w:val="center"/>
        <w:textAlignment w:val="baseline"/>
        <w:outlineLvl w:val="1"/>
        <w:rPr>
          <w:rFonts w:ascii="华文中宋" w:eastAsia="华文中宋" w:hAnsi="华文中宋"/>
          <w:kern w:val="0"/>
          <w:sz w:val="44"/>
          <w:szCs w:val="44"/>
        </w:rPr>
      </w:pPr>
      <w:r w:rsidRPr="007D00D9">
        <w:rPr>
          <w:rFonts w:ascii="华文中宋" w:eastAsia="华文中宋" w:hAnsi="华文中宋" w:hint="eastAsia"/>
          <w:kern w:val="0"/>
          <w:sz w:val="44"/>
          <w:szCs w:val="44"/>
        </w:rPr>
        <w:t>自查报告</w:t>
      </w:r>
      <w:bookmarkEnd w:id="0"/>
    </w:p>
    <w:p w:rsidR="00422662" w:rsidRPr="00A00363" w:rsidRDefault="00422662" w:rsidP="008A799D">
      <w:pPr>
        <w:ind w:firstLineChars="181" w:firstLine="31680"/>
        <w:rPr>
          <w:rFonts w:ascii="仿宋" w:eastAsia="仿宋" w:hAnsi="仿宋"/>
          <w:sz w:val="32"/>
          <w:szCs w:val="32"/>
        </w:rPr>
      </w:pPr>
      <w:r w:rsidRPr="00A00363">
        <w:rPr>
          <w:rFonts w:ascii="仿宋" w:eastAsia="仿宋" w:hAnsi="仿宋" w:hint="eastAsia"/>
          <w:sz w:val="32"/>
          <w:szCs w:val="32"/>
        </w:rPr>
        <w:t>根据《财政部关于开展资产评估行业专项整治工作的通知》及相关要求，我们于</w:t>
      </w:r>
      <w:r w:rsidRPr="00A00363">
        <w:rPr>
          <w:rFonts w:ascii="仿宋" w:eastAsia="仿宋" w:hAnsi="仿宋"/>
          <w:sz w:val="32"/>
          <w:szCs w:val="32"/>
        </w:rPr>
        <w:t>2021</w:t>
      </w:r>
      <w:r w:rsidRPr="00A00363">
        <w:rPr>
          <w:rFonts w:ascii="仿宋" w:eastAsia="仿宋" w:hAnsi="仿宋" w:hint="eastAsia"/>
          <w:sz w:val="32"/>
          <w:szCs w:val="32"/>
        </w:rPr>
        <w:t>年</w:t>
      </w:r>
      <w:r w:rsidRPr="00A00363">
        <w:rPr>
          <w:rFonts w:ascii="仿宋" w:eastAsia="仿宋" w:hAnsi="仿宋"/>
          <w:sz w:val="32"/>
          <w:szCs w:val="32"/>
        </w:rPr>
        <w:t xml:space="preserve"> </w:t>
      </w:r>
      <w:r w:rsidRPr="00A00363">
        <w:rPr>
          <w:rFonts w:ascii="仿宋" w:eastAsia="仿宋" w:hAnsi="仿宋" w:hint="eastAsia"/>
          <w:sz w:val="32"/>
          <w:szCs w:val="32"/>
        </w:rPr>
        <w:t>月</w:t>
      </w:r>
      <w:r w:rsidRPr="00A00363">
        <w:rPr>
          <w:rFonts w:ascii="仿宋" w:eastAsia="仿宋" w:hAnsi="仿宋"/>
          <w:sz w:val="32"/>
          <w:szCs w:val="32"/>
        </w:rPr>
        <w:t xml:space="preserve"> </w:t>
      </w:r>
      <w:r w:rsidRPr="00A00363">
        <w:rPr>
          <w:rFonts w:ascii="仿宋" w:eastAsia="仿宋" w:hAnsi="仿宋" w:hint="eastAsia"/>
          <w:sz w:val="32"/>
          <w:szCs w:val="32"/>
        </w:rPr>
        <w:t>日至</w:t>
      </w:r>
      <w:r w:rsidRPr="00A00363">
        <w:rPr>
          <w:rFonts w:ascii="仿宋" w:eastAsia="仿宋" w:hAnsi="仿宋"/>
          <w:sz w:val="32"/>
          <w:szCs w:val="32"/>
        </w:rPr>
        <w:t xml:space="preserve"> </w:t>
      </w:r>
      <w:r w:rsidRPr="00A00363">
        <w:rPr>
          <w:rFonts w:ascii="仿宋" w:eastAsia="仿宋" w:hAnsi="仿宋" w:hint="eastAsia"/>
          <w:sz w:val="32"/>
          <w:szCs w:val="32"/>
        </w:rPr>
        <w:t>月</w:t>
      </w:r>
      <w:r w:rsidRPr="00A00363">
        <w:rPr>
          <w:rFonts w:ascii="仿宋" w:eastAsia="仿宋" w:hAnsi="仿宋"/>
          <w:sz w:val="32"/>
          <w:szCs w:val="32"/>
        </w:rPr>
        <w:t xml:space="preserve"> </w:t>
      </w:r>
      <w:r w:rsidRPr="00A00363">
        <w:rPr>
          <w:rFonts w:ascii="仿宋" w:eastAsia="仿宋" w:hAnsi="仿宋" w:hint="eastAsia"/>
          <w:sz w:val="32"/>
          <w:szCs w:val="32"/>
        </w:rPr>
        <w:t>日进行了自查。现将自查情况汇报如下：</w:t>
      </w:r>
    </w:p>
    <w:p w:rsidR="00422662" w:rsidRPr="00A00363" w:rsidRDefault="00422662" w:rsidP="008A799D">
      <w:pPr>
        <w:ind w:firstLineChars="200" w:firstLine="31680"/>
        <w:rPr>
          <w:rFonts w:ascii="仿宋" w:eastAsia="仿宋" w:hAnsi="仿宋"/>
          <w:sz w:val="32"/>
          <w:szCs w:val="32"/>
        </w:rPr>
      </w:pPr>
      <w:r w:rsidRPr="00A00363">
        <w:rPr>
          <w:rFonts w:ascii="仿宋" w:eastAsia="仿宋" w:hAnsi="仿宋" w:hint="eastAsia"/>
          <w:sz w:val="32"/>
          <w:szCs w:val="32"/>
        </w:rPr>
        <w:t>一、机构基本情况</w:t>
      </w:r>
    </w:p>
    <w:p w:rsidR="00422662" w:rsidRPr="00A00363" w:rsidRDefault="00422662" w:rsidP="008A799D">
      <w:pPr>
        <w:spacing w:line="360" w:lineRule="auto"/>
        <w:ind w:firstLineChars="200" w:firstLine="31680"/>
        <w:contextualSpacing/>
        <w:rPr>
          <w:rFonts w:ascii="仿宋" w:eastAsia="仿宋" w:hAnsi="仿宋"/>
          <w:sz w:val="32"/>
          <w:szCs w:val="32"/>
        </w:rPr>
      </w:pPr>
      <w:r w:rsidRPr="00A00363">
        <w:rPr>
          <w:rFonts w:ascii="仿宋" w:eastAsia="仿宋" w:hAnsi="仿宋"/>
          <w:sz w:val="32"/>
          <w:szCs w:val="32"/>
        </w:rPr>
        <w:t>1.</w:t>
      </w:r>
      <w:r w:rsidRPr="00A00363">
        <w:rPr>
          <w:rFonts w:ascii="仿宋" w:eastAsia="仿宋" w:hAnsi="仿宋" w:hint="eastAsia"/>
          <w:sz w:val="32"/>
          <w:szCs w:val="32"/>
        </w:rPr>
        <w:t>机构简介。主要包括机构成立时间及其沿革，内部组织架构，人员规模及其构成，业务规模及其构成，注册资本、股东姓名及其出资额和比例、其他执业资质、共同控制下的其他实体（列举共同控制下的会计师事务所、房地产评估机构、土地评估机构等其他实体的成立时间及基本情况）。</w:t>
      </w:r>
    </w:p>
    <w:p w:rsidR="00422662" w:rsidRPr="00A00363" w:rsidRDefault="00422662" w:rsidP="008A799D">
      <w:pPr>
        <w:spacing w:line="360" w:lineRule="auto"/>
        <w:ind w:firstLineChars="200" w:firstLine="31680"/>
        <w:contextualSpacing/>
        <w:rPr>
          <w:rFonts w:ascii="仿宋" w:eastAsia="仿宋" w:hAnsi="仿宋"/>
          <w:sz w:val="32"/>
          <w:szCs w:val="32"/>
        </w:rPr>
      </w:pPr>
      <w:bookmarkStart w:id="1" w:name="_Hlk69989991"/>
      <w:r w:rsidRPr="00A00363">
        <w:rPr>
          <w:rFonts w:ascii="仿宋" w:eastAsia="仿宋" w:hAnsi="仿宋"/>
          <w:sz w:val="32"/>
          <w:szCs w:val="32"/>
        </w:rPr>
        <w:t>2.</w:t>
      </w:r>
      <w:r w:rsidRPr="00A00363">
        <w:rPr>
          <w:rFonts w:ascii="仿宋" w:eastAsia="仿宋" w:hAnsi="仿宋" w:hint="eastAsia"/>
          <w:sz w:val="32"/>
          <w:szCs w:val="32"/>
        </w:rPr>
        <w:t>机构内部治理、专业胜任能力、风险防范机制、质量控制体系和项目质量检查</w:t>
      </w:r>
      <w:bookmarkEnd w:id="1"/>
      <w:r w:rsidRPr="00A00363">
        <w:rPr>
          <w:rFonts w:ascii="仿宋" w:eastAsia="仿宋" w:hAnsi="仿宋" w:hint="eastAsia"/>
          <w:sz w:val="32"/>
          <w:szCs w:val="32"/>
        </w:rPr>
        <w:t>等。</w:t>
      </w:r>
    </w:p>
    <w:p w:rsidR="00422662" w:rsidRPr="00A00363" w:rsidRDefault="00422662" w:rsidP="008A799D">
      <w:pPr>
        <w:spacing w:line="360" w:lineRule="auto"/>
        <w:ind w:firstLineChars="200" w:firstLine="31680"/>
        <w:contextualSpacing/>
        <w:rPr>
          <w:rFonts w:ascii="仿宋" w:eastAsia="仿宋" w:hAnsi="仿宋"/>
          <w:sz w:val="32"/>
          <w:szCs w:val="32"/>
        </w:rPr>
      </w:pPr>
      <w:r w:rsidRPr="00A00363">
        <w:rPr>
          <w:rFonts w:ascii="仿宋" w:eastAsia="仿宋" w:hAnsi="仿宋" w:hint="eastAsia"/>
          <w:sz w:val="32"/>
          <w:szCs w:val="32"/>
        </w:rPr>
        <w:t>二、自查工作开展情况</w:t>
      </w:r>
    </w:p>
    <w:p w:rsidR="00422662" w:rsidRPr="00A00363" w:rsidRDefault="00422662" w:rsidP="008A799D">
      <w:pPr>
        <w:spacing w:line="360" w:lineRule="auto"/>
        <w:ind w:firstLineChars="200" w:firstLine="31680"/>
        <w:contextualSpacing/>
        <w:rPr>
          <w:rFonts w:ascii="仿宋" w:eastAsia="仿宋" w:hAnsi="仿宋"/>
          <w:sz w:val="32"/>
          <w:szCs w:val="32"/>
        </w:rPr>
      </w:pPr>
      <w:r w:rsidRPr="00A00363">
        <w:rPr>
          <w:rFonts w:ascii="仿宋" w:eastAsia="仿宋" w:hAnsi="仿宋" w:hint="eastAsia"/>
          <w:sz w:val="32"/>
          <w:szCs w:val="32"/>
        </w:rPr>
        <w:t>主要包括自查时间、自查人员、自查范围、自查内容、主要自查方法等。</w:t>
      </w:r>
    </w:p>
    <w:p w:rsidR="00422662" w:rsidRPr="00A00363" w:rsidRDefault="00422662" w:rsidP="008A799D">
      <w:pPr>
        <w:spacing w:line="360" w:lineRule="auto"/>
        <w:ind w:firstLineChars="200" w:firstLine="31680"/>
        <w:contextualSpacing/>
        <w:rPr>
          <w:rFonts w:ascii="仿宋" w:eastAsia="仿宋" w:hAnsi="仿宋"/>
          <w:sz w:val="32"/>
          <w:szCs w:val="32"/>
        </w:rPr>
      </w:pPr>
      <w:r w:rsidRPr="00A00363">
        <w:rPr>
          <w:rFonts w:ascii="仿宋" w:eastAsia="仿宋" w:hAnsi="仿宋" w:hint="eastAsia"/>
          <w:sz w:val="32"/>
          <w:szCs w:val="32"/>
        </w:rPr>
        <w:t>三、自查发现的问题</w:t>
      </w:r>
    </w:p>
    <w:p w:rsidR="00422662" w:rsidRPr="00A00363" w:rsidRDefault="00422662" w:rsidP="008A799D">
      <w:pPr>
        <w:spacing w:line="360" w:lineRule="auto"/>
        <w:ind w:firstLineChars="200" w:firstLine="31680"/>
        <w:contextualSpacing/>
        <w:rPr>
          <w:rFonts w:ascii="仿宋" w:eastAsia="仿宋" w:hAnsi="仿宋"/>
          <w:sz w:val="32"/>
          <w:szCs w:val="32"/>
        </w:rPr>
      </w:pPr>
      <w:r w:rsidRPr="00A00363">
        <w:rPr>
          <w:rFonts w:ascii="仿宋" w:eastAsia="仿宋" w:hAnsi="仿宋"/>
          <w:sz w:val="32"/>
          <w:szCs w:val="32"/>
        </w:rPr>
        <w:t>1.</w:t>
      </w:r>
      <w:r w:rsidRPr="00A00363">
        <w:rPr>
          <w:rFonts w:ascii="仿宋" w:eastAsia="仿宋" w:hAnsi="仿宋" w:hint="eastAsia"/>
          <w:sz w:val="32"/>
          <w:szCs w:val="32"/>
        </w:rPr>
        <w:t>根据《财政部关于开展资产评估行业专项整治工作的通知》自查相关要求，本机构承诺以下自查情况属实：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4"/>
        <w:gridCol w:w="5245"/>
        <w:gridCol w:w="2347"/>
      </w:tblGrid>
      <w:tr w:rsidR="00422662" w:rsidTr="00704DF2">
        <w:tc>
          <w:tcPr>
            <w:tcW w:w="704" w:type="dxa"/>
          </w:tcPr>
          <w:p w:rsidR="00422662" w:rsidRPr="00704DF2" w:rsidRDefault="00422662" w:rsidP="00704DF2">
            <w:pPr>
              <w:spacing w:line="360" w:lineRule="auto"/>
              <w:contextualSpacing/>
              <w:jc w:val="center"/>
              <w:rPr>
                <w:rFonts w:ascii="仿宋_GB2312" w:eastAsia="仿宋_GB2312"/>
                <w:b/>
                <w:bCs/>
                <w:sz w:val="24"/>
              </w:rPr>
            </w:pPr>
            <w:r w:rsidRPr="00704DF2">
              <w:rPr>
                <w:rFonts w:ascii="仿宋_GB2312" w:eastAsia="仿宋_GB2312" w:hint="eastAsia"/>
                <w:b/>
                <w:bCs/>
                <w:sz w:val="24"/>
              </w:rPr>
              <w:t>序号</w:t>
            </w:r>
          </w:p>
        </w:tc>
        <w:tc>
          <w:tcPr>
            <w:tcW w:w="5245" w:type="dxa"/>
          </w:tcPr>
          <w:p w:rsidR="00422662" w:rsidRPr="00704DF2" w:rsidRDefault="00422662" w:rsidP="00704DF2">
            <w:pPr>
              <w:spacing w:line="360" w:lineRule="auto"/>
              <w:contextualSpacing/>
              <w:jc w:val="center"/>
              <w:rPr>
                <w:rFonts w:ascii="仿宋_GB2312" w:eastAsia="仿宋_GB2312"/>
                <w:b/>
                <w:bCs/>
                <w:sz w:val="24"/>
              </w:rPr>
            </w:pPr>
            <w:r w:rsidRPr="00704DF2">
              <w:rPr>
                <w:rFonts w:ascii="仿宋_GB2312" w:eastAsia="仿宋_GB2312" w:hint="eastAsia"/>
                <w:b/>
                <w:bCs/>
                <w:sz w:val="24"/>
              </w:rPr>
              <w:t>自查内容</w:t>
            </w:r>
          </w:p>
        </w:tc>
        <w:tc>
          <w:tcPr>
            <w:tcW w:w="2347" w:type="dxa"/>
          </w:tcPr>
          <w:p w:rsidR="00422662" w:rsidRPr="00704DF2" w:rsidRDefault="00422662" w:rsidP="00704DF2">
            <w:pPr>
              <w:spacing w:line="360" w:lineRule="auto"/>
              <w:contextualSpacing/>
              <w:jc w:val="center"/>
              <w:rPr>
                <w:rFonts w:ascii="仿宋_GB2312" w:eastAsia="仿宋_GB2312"/>
                <w:b/>
                <w:bCs/>
                <w:sz w:val="24"/>
              </w:rPr>
            </w:pPr>
            <w:r>
              <w:rPr>
                <w:rFonts w:ascii="仿宋_GB2312" w:eastAsia="仿宋_GB2312" w:hint="eastAsia"/>
                <w:b/>
                <w:bCs/>
                <w:sz w:val="24"/>
              </w:rPr>
              <w:t>存在问题情况</w:t>
            </w:r>
          </w:p>
        </w:tc>
      </w:tr>
      <w:tr w:rsidR="00422662" w:rsidTr="00704DF2">
        <w:tc>
          <w:tcPr>
            <w:tcW w:w="704" w:type="dxa"/>
          </w:tcPr>
          <w:p w:rsidR="00422662" w:rsidRPr="00704DF2" w:rsidRDefault="00422662" w:rsidP="00704DF2">
            <w:pPr>
              <w:spacing w:line="360" w:lineRule="auto"/>
              <w:contextualSpacing/>
              <w:jc w:val="center"/>
              <w:rPr>
                <w:rFonts w:ascii="仿宋_GB2312" w:eastAsia="仿宋_GB2312"/>
                <w:szCs w:val="32"/>
              </w:rPr>
            </w:pPr>
            <w:r w:rsidRPr="00704DF2">
              <w:rPr>
                <w:rFonts w:ascii="仿宋_GB2312" w:eastAsia="仿宋_GB2312"/>
                <w:b/>
                <w:bCs/>
                <w:sz w:val="24"/>
              </w:rPr>
              <w:t>1</w:t>
            </w:r>
          </w:p>
        </w:tc>
        <w:tc>
          <w:tcPr>
            <w:tcW w:w="5245" w:type="dxa"/>
          </w:tcPr>
          <w:p w:rsidR="00422662" w:rsidRPr="00704DF2" w:rsidRDefault="00422662" w:rsidP="00704DF2">
            <w:pPr>
              <w:spacing w:line="360" w:lineRule="auto"/>
              <w:contextualSpacing/>
              <w:rPr>
                <w:rFonts w:ascii="仿宋_GB2312" w:eastAsia="仿宋_GB2312"/>
                <w:sz w:val="24"/>
              </w:rPr>
            </w:pPr>
            <w:r w:rsidRPr="00704DF2">
              <w:rPr>
                <w:rFonts w:ascii="仿宋_GB2312" w:eastAsia="仿宋_GB2312" w:hint="eastAsia"/>
                <w:sz w:val="24"/>
              </w:rPr>
              <w:t>是否存在资产评估师挂名或不在资产评估机构专职执业行为</w:t>
            </w:r>
          </w:p>
        </w:tc>
        <w:tc>
          <w:tcPr>
            <w:tcW w:w="2347" w:type="dxa"/>
          </w:tcPr>
          <w:p w:rsidR="00422662" w:rsidRPr="00704DF2" w:rsidRDefault="00422662" w:rsidP="00704DF2">
            <w:pPr>
              <w:spacing w:line="360" w:lineRule="auto"/>
              <w:contextualSpacing/>
              <w:rPr>
                <w:rFonts w:ascii="仿宋_GB2312" w:eastAsia="仿宋_GB2312"/>
                <w:sz w:val="28"/>
                <w:szCs w:val="28"/>
              </w:rPr>
            </w:pPr>
          </w:p>
        </w:tc>
      </w:tr>
      <w:tr w:rsidR="00422662" w:rsidTr="00704DF2">
        <w:tc>
          <w:tcPr>
            <w:tcW w:w="704" w:type="dxa"/>
          </w:tcPr>
          <w:p w:rsidR="00422662" w:rsidRPr="00704DF2" w:rsidRDefault="00422662" w:rsidP="00704DF2">
            <w:pPr>
              <w:spacing w:line="360" w:lineRule="auto"/>
              <w:contextualSpacing/>
              <w:jc w:val="center"/>
              <w:rPr>
                <w:rFonts w:ascii="仿宋_GB2312" w:eastAsia="仿宋_GB2312"/>
                <w:szCs w:val="32"/>
              </w:rPr>
            </w:pPr>
            <w:r w:rsidRPr="00704DF2">
              <w:rPr>
                <w:rFonts w:ascii="仿宋_GB2312" w:eastAsia="仿宋_GB2312"/>
                <w:b/>
                <w:bCs/>
                <w:sz w:val="24"/>
              </w:rPr>
              <w:t>2</w:t>
            </w:r>
          </w:p>
        </w:tc>
        <w:tc>
          <w:tcPr>
            <w:tcW w:w="5245" w:type="dxa"/>
          </w:tcPr>
          <w:p w:rsidR="00422662" w:rsidRPr="00704DF2" w:rsidRDefault="00422662" w:rsidP="00704DF2">
            <w:pPr>
              <w:spacing w:line="360" w:lineRule="auto"/>
              <w:contextualSpacing/>
              <w:rPr>
                <w:rFonts w:ascii="仿宋_GB2312" w:eastAsia="仿宋_GB2312"/>
                <w:sz w:val="24"/>
              </w:rPr>
            </w:pPr>
            <w:r w:rsidRPr="00704DF2">
              <w:rPr>
                <w:rFonts w:ascii="仿宋_GB2312" w:eastAsia="仿宋_GB2312" w:hint="eastAsia"/>
                <w:sz w:val="24"/>
              </w:rPr>
              <w:t>资产评估机构在评估程序履行、评估专业人员委派、评估报告内部复核等方面是否存在重大缺陷，是否承接了与自身规模、执业能力、风险承担能力不匹配的业务</w:t>
            </w:r>
          </w:p>
        </w:tc>
        <w:tc>
          <w:tcPr>
            <w:tcW w:w="2347" w:type="dxa"/>
          </w:tcPr>
          <w:p w:rsidR="00422662" w:rsidRPr="00704DF2" w:rsidRDefault="00422662" w:rsidP="00704DF2">
            <w:pPr>
              <w:spacing w:line="360" w:lineRule="auto"/>
              <w:contextualSpacing/>
              <w:rPr>
                <w:rFonts w:ascii="仿宋_GB2312" w:eastAsia="仿宋_GB2312"/>
                <w:sz w:val="28"/>
                <w:szCs w:val="28"/>
              </w:rPr>
            </w:pPr>
          </w:p>
        </w:tc>
      </w:tr>
      <w:tr w:rsidR="00422662" w:rsidTr="00704DF2">
        <w:tc>
          <w:tcPr>
            <w:tcW w:w="704" w:type="dxa"/>
          </w:tcPr>
          <w:p w:rsidR="00422662" w:rsidRPr="00704DF2" w:rsidRDefault="00422662" w:rsidP="00704DF2">
            <w:pPr>
              <w:spacing w:line="360" w:lineRule="auto"/>
              <w:contextualSpacing/>
              <w:jc w:val="center"/>
              <w:rPr>
                <w:rFonts w:ascii="仿宋_GB2312" w:eastAsia="仿宋_GB2312"/>
                <w:szCs w:val="32"/>
              </w:rPr>
            </w:pPr>
            <w:r w:rsidRPr="00704DF2">
              <w:rPr>
                <w:rFonts w:ascii="仿宋_GB2312" w:eastAsia="仿宋_GB2312"/>
                <w:b/>
                <w:bCs/>
                <w:sz w:val="24"/>
              </w:rPr>
              <w:t>3</w:t>
            </w:r>
          </w:p>
        </w:tc>
        <w:tc>
          <w:tcPr>
            <w:tcW w:w="5245" w:type="dxa"/>
          </w:tcPr>
          <w:p w:rsidR="00422662" w:rsidRPr="00704DF2" w:rsidRDefault="00422662" w:rsidP="00704DF2">
            <w:pPr>
              <w:spacing w:line="360" w:lineRule="auto"/>
              <w:contextualSpacing/>
              <w:rPr>
                <w:rFonts w:ascii="仿宋_GB2312" w:eastAsia="仿宋_GB2312"/>
                <w:sz w:val="24"/>
              </w:rPr>
            </w:pPr>
            <w:r w:rsidRPr="00704DF2">
              <w:rPr>
                <w:rFonts w:ascii="仿宋_GB2312" w:eastAsia="仿宋_GB2312" w:hint="eastAsia"/>
                <w:sz w:val="24"/>
              </w:rPr>
              <w:t>是否存在单个资产评估师年度内出具</w:t>
            </w:r>
            <w:r w:rsidRPr="00704DF2">
              <w:rPr>
                <w:rFonts w:ascii="仿宋_GB2312" w:eastAsia="仿宋_GB2312"/>
                <w:sz w:val="24"/>
              </w:rPr>
              <w:t>200</w:t>
            </w:r>
            <w:r w:rsidRPr="00704DF2">
              <w:rPr>
                <w:rFonts w:ascii="仿宋_GB2312" w:eastAsia="仿宋_GB2312" w:hint="eastAsia"/>
                <w:sz w:val="24"/>
              </w:rPr>
              <w:t>份以上资产评估报告；资产评估师数量不足</w:t>
            </w:r>
            <w:r w:rsidRPr="00704DF2">
              <w:rPr>
                <w:rFonts w:ascii="仿宋_GB2312" w:eastAsia="仿宋_GB2312"/>
                <w:sz w:val="24"/>
              </w:rPr>
              <w:t>5</w:t>
            </w:r>
            <w:r w:rsidRPr="00704DF2">
              <w:rPr>
                <w:rFonts w:ascii="仿宋_GB2312" w:eastAsia="仿宋_GB2312" w:hint="eastAsia"/>
                <w:sz w:val="24"/>
              </w:rPr>
              <w:t>名、承接国有资产评估业务并出具报告；资产评估师数量不足</w:t>
            </w:r>
            <w:r w:rsidRPr="00704DF2">
              <w:rPr>
                <w:rFonts w:ascii="仿宋_GB2312" w:eastAsia="仿宋_GB2312"/>
                <w:sz w:val="24"/>
              </w:rPr>
              <w:t>30</w:t>
            </w:r>
            <w:r w:rsidRPr="00704DF2">
              <w:rPr>
                <w:rFonts w:ascii="仿宋_GB2312" w:eastAsia="仿宋_GB2312" w:hint="eastAsia"/>
                <w:sz w:val="24"/>
              </w:rPr>
              <w:t>名、承接证券评估业务并出具报告情况</w:t>
            </w:r>
          </w:p>
        </w:tc>
        <w:tc>
          <w:tcPr>
            <w:tcW w:w="2347" w:type="dxa"/>
          </w:tcPr>
          <w:p w:rsidR="00422662" w:rsidRPr="00704DF2" w:rsidRDefault="00422662" w:rsidP="00704DF2">
            <w:pPr>
              <w:spacing w:line="360" w:lineRule="auto"/>
              <w:contextualSpacing/>
              <w:rPr>
                <w:rFonts w:ascii="仿宋_GB2312" w:eastAsia="仿宋_GB2312"/>
                <w:sz w:val="28"/>
                <w:szCs w:val="28"/>
              </w:rPr>
            </w:pPr>
          </w:p>
        </w:tc>
      </w:tr>
      <w:tr w:rsidR="00422662" w:rsidTr="00704DF2">
        <w:tc>
          <w:tcPr>
            <w:tcW w:w="704" w:type="dxa"/>
          </w:tcPr>
          <w:p w:rsidR="00422662" w:rsidRPr="00704DF2" w:rsidRDefault="00422662" w:rsidP="00704DF2">
            <w:pPr>
              <w:spacing w:line="360" w:lineRule="auto"/>
              <w:contextualSpacing/>
              <w:jc w:val="center"/>
              <w:rPr>
                <w:rFonts w:ascii="仿宋_GB2312" w:eastAsia="仿宋_GB2312"/>
                <w:b/>
                <w:bCs/>
                <w:sz w:val="24"/>
              </w:rPr>
            </w:pPr>
            <w:r w:rsidRPr="00704DF2">
              <w:rPr>
                <w:rFonts w:ascii="仿宋_GB2312" w:eastAsia="仿宋_GB2312"/>
                <w:b/>
                <w:bCs/>
                <w:sz w:val="24"/>
              </w:rPr>
              <w:t>4</w:t>
            </w:r>
          </w:p>
        </w:tc>
        <w:tc>
          <w:tcPr>
            <w:tcW w:w="5245" w:type="dxa"/>
          </w:tcPr>
          <w:p w:rsidR="00422662" w:rsidRPr="00704DF2" w:rsidRDefault="00422662" w:rsidP="00704DF2">
            <w:pPr>
              <w:spacing w:line="360" w:lineRule="auto"/>
              <w:contextualSpacing/>
              <w:rPr>
                <w:rFonts w:ascii="仿宋_GB2312" w:eastAsia="仿宋_GB2312"/>
                <w:sz w:val="24"/>
              </w:rPr>
            </w:pPr>
            <w:r w:rsidRPr="00704DF2">
              <w:rPr>
                <w:rFonts w:ascii="仿宋_GB2312" w:eastAsia="仿宋_GB2312" w:hint="eastAsia"/>
                <w:sz w:val="24"/>
              </w:rPr>
              <w:t>是否存在近三年来资本无序扩张、法人股占比超过</w:t>
            </w:r>
            <w:r w:rsidRPr="00704DF2">
              <w:rPr>
                <w:rFonts w:ascii="仿宋_GB2312" w:eastAsia="仿宋_GB2312"/>
                <w:sz w:val="24"/>
              </w:rPr>
              <w:t>30%</w:t>
            </w:r>
            <w:r w:rsidRPr="00704DF2">
              <w:rPr>
                <w:rFonts w:ascii="仿宋_GB2312" w:eastAsia="仿宋_GB2312" w:hint="eastAsia"/>
                <w:sz w:val="24"/>
              </w:rPr>
              <w:t>情形</w:t>
            </w:r>
          </w:p>
        </w:tc>
        <w:tc>
          <w:tcPr>
            <w:tcW w:w="2347" w:type="dxa"/>
          </w:tcPr>
          <w:p w:rsidR="00422662" w:rsidRPr="00704DF2" w:rsidRDefault="00422662" w:rsidP="00704DF2">
            <w:pPr>
              <w:spacing w:line="360" w:lineRule="auto"/>
              <w:contextualSpacing/>
              <w:rPr>
                <w:rFonts w:ascii="仿宋_GB2312" w:eastAsia="仿宋_GB2312"/>
                <w:sz w:val="28"/>
                <w:szCs w:val="28"/>
              </w:rPr>
            </w:pPr>
          </w:p>
        </w:tc>
      </w:tr>
      <w:tr w:rsidR="00422662" w:rsidTr="00704DF2">
        <w:tc>
          <w:tcPr>
            <w:tcW w:w="704" w:type="dxa"/>
          </w:tcPr>
          <w:p w:rsidR="00422662" w:rsidRPr="00704DF2" w:rsidRDefault="00422662" w:rsidP="00704DF2">
            <w:pPr>
              <w:spacing w:line="360" w:lineRule="auto"/>
              <w:contextualSpacing/>
              <w:jc w:val="center"/>
              <w:rPr>
                <w:rFonts w:ascii="仿宋_GB2312" w:eastAsia="仿宋_GB2312"/>
                <w:szCs w:val="32"/>
              </w:rPr>
            </w:pPr>
            <w:r w:rsidRPr="00704DF2">
              <w:rPr>
                <w:rFonts w:ascii="仿宋_GB2312" w:eastAsia="仿宋_GB2312"/>
                <w:b/>
                <w:bCs/>
                <w:sz w:val="24"/>
              </w:rPr>
              <w:t>5</w:t>
            </w:r>
          </w:p>
        </w:tc>
        <w:tc>
          <w:tcPr>
            <w:tcW w:w="5245" w:type="dxa"/>
          </w:tcPr>
          <w:p w:rsidR="00422662" w:rsidRPr="00704DF2" w:rsidRDefault="00422662" w:rsidP="00704DF2">
            <w:pPr>
              <w:spacing w:line="360" w:lineRule="auto"/>
              <w:contextualSpacing/>
              <w:rPr>
                <w:rFonts w:ascii="仿宋_GB2312" w:eastAsia="仿宋_GB2312"/>
                <w:sz w:val="24"/>
              </w:rPr>
            </w:pPr>
            <w:r w:rsidRPr="00704DF2">
              <w:rPr>
                <w:rFonts w:ascii="仿宋_GB2312" w:eastAsia="仿宋_GB2312" w:hint="eastAsia"/>
                <w:sz w:val="24"/>
              </w:rPr>
              <w:t>资产评估机构及其分支机构按照评估法及资产评估行业财政监督管理办法规定领取营业执照、通过资产评估机构备案信息管理系统录入资产评估专业人员等监管信息</w:t>
            </w:r>
          </w:p>
        </w:tc>
        <w:tc>
          <w:tcPr>
            <w:tcW w:w="2347" w:type="dxa"/>
          </w:tcPr>
          <w:p w:rsidR="00422662" w:rsidRPr="00704DF2" w:rsidRDefault="00422662" w:rsidP="00704DF2">
            <w:pPr>
              <w:spacing w:line="360" w:lineRule="auto"/>
              <w:contextualSpacing/>
              <w:rPr>
                <w:rFonts w:ascii="仿宋_GB2312" w:eastAsia="仿宋_GB2312"/>
                <w:sz w:val="28"/>
                <w:szCs w:val="28"/>
              </w:rPr>
            </w:pPr>
          </w:p>
        </w:tc>
      </w:tr>
      <w:tr w:rsidR="00422662" w:rsidTr="00704DF2">
        <w:tc>
          <w:tcPr>
            <w:tcW w:w="704" w:type="dxa"/>
          </w:tcPr>
          <w:p w:rsidR="00422662" w:rsidRPr="00704DF2" w:rsidRDefault="00422662" w:rsidP="00704DF2">
            <w:pPr>
              <w:spacing w:line="360" w:lineRule="auto"/>
              <w:contextualSpacing/>
              <w:jc w:val="center"/>
              <w:rPr>
                <w:rFonts w:ascii="仿宋_GB2312" w:eastAsia="仿宋_GB2312"/>
                <w:szCs w:val="32"/>
              </w:rPr>
            </w:pPr>
            <w:r w:rsidRPr="00704DF2">
              <w:rPr>
                <w:rFonts w:ascii="仿宋_GB2312" w:eastAsia="仿宋_GB2312"/>
                <w:b/>
                <w:bCs/>
                <w:sz w:val="24"/>
              </w:rPr>
              <w:t>6</w:t>
            </w:r>
          </w:p>
        </w:tc>
        <w:tc>
          <w:tcPr>
            <w:tcW w:w="5245" w:type="dxa"/>
          </w:tcPr>
          <w:p w:rsidR="00422662" w:rsidRPr="00704DF2" w:rsidRDefault="00422662" w:rsidP="00704DF2">
            <w:pPr>
              <w:spacing w:line="360" w:lineRule="auto"/>
              <w:contextualSpacing/>
              <w:rPr>
                <w:rFonts w:ascii="仿宋_GB2312" w:eastAsia="仿宋_GB2312"/>
                <w:sz w:val="24"/>
              </w:rPr>
            </w:pPr>
            <w:r w:rsidRPr="00704DF2">
              <w:rPr>
                <w:rFonts w:ascii="仿宋_GB2312" w:eastAsia="仿宋_GB2312" w:hint="eastAsia"/>
                <w:sz w:val="24"/>
              </w:rPr>
              <w:t>资产评估机构或资产评估师是否存在通过网络平台售卖资产评估报告的情形</w:t>
            </w:r>
          </w:p>
        </w:tc>
        <w:tc>
          <w:tcPr>
            <w:tcW w:w="2347" w:type="dxa"/>
          </w:tcPr>
          <w:p w:rsidR="00422662" w:rsidRPr="00704DF2" w:rsidRDefault="00422662" w:rsidP="00704DF2">
            <w:pPr>
              <w:spacing w:line="360" w:lineRule="auto"/>
              <w:contextualSpacing/>
              <w:rPr>
                <w:rFonts w:ascii="仿宋_GB2312" w:eastAsia="仿宋_GB2312"/>
                <w:sz w:val="28"/>
                <w:szCs w:val="28"/>
              </w:rPr>
            </w:pPr>
          </w:p>
        </w:tc>
      </w:tr>
      <w:tr w:rsidR="00422662" w:rsidTr="00704DF2">
        <w:tc>
          <w:tcPr>
            <w:tcW w:w="704" w:type="dxa"/>
          </w:tcPr>
          <w:p w:rsidR="00422662" w:rsidRPr="00704DF2" w:rsidRDefault="00422662" w:rsidP="00704DF2">
            <w:pPr>
              <w:spacing w:line="360" w:lineRule="auto"/>
              <w:contextualSpacing/>
              <w:jc w:val="center"/>
              <w:rPr>
                <w:rFonts w:ascii="仿宋_GB2312" w:eastAsia="仿宋_GB2312"/>
                <w:szCs w:val="32"/>
              </w:rPr>
            </w:pPr>
            <w:r w:rsidRPr="00704DF2">
              <w:rPr>
                <w:rFonts w:ascii="仿宋_GB2312" w:eastAsia="仿宋_GB2312"/>
                <w:b/>
                <w:bCs/>
                <w:sz w:val="24"/>
              </w:rPr>
              <w:t>7</w:t>
            </w:r>
          </w:p>
        </w:tc>
        <w:tc>
          <w:tcPr>
            <w:tcW w:w="5245" w:type="dxa"/>
          </w:tcPr>
          <w:p w:rsidR="00422662" w:rsidRPr="00704DF2" w:rsidRDefault="00422662" w:rsidP="00704DF2">
            <w:pPr>
              <w:spacing w:line="360" w:lineRule="auto"/>
              <w:contextualSpacing/>
              <w:rPr>
                <w:rFonts w:ascii="仿宋_GB2312" w:eastAsia="仿宋_GB2312"/>
                <w:sz w:val="24"/>
              </w:rPr>
            </w:pPr>
            <w:r w:rsidRPr="00704DF2">
              <w:rPr>
                <w:rFonts w:ascii="仿宋_GB2312" w:eastAsia="仿宋_GB2312" w:hint="eastAsia"/>
                <w:sz w:val="24"/>
              </w:rPr>
              <w:t>资产评估机构质量控制制度、内部管理制度和执业风险基金，制度健全、执行到位是否存在问题</w:t>
            </w:r>
          </w:p>
        </w:tc>
        <w:tc>
          <w:tcPr>
            <w:tcW w:w="2347" w:type="dxa"/>
          </w:tcPr>
          <w:p w:rsidR="00422662" w:rsidRPr="00704DF2" w:rsidRDefault="00422662" w:rsidP="00704DF2">
            <w:pPr>
              <w:spacing w:line="360" w:lineRule="auto"/>
              <w:contextualSpacing/>
              <w:rPr>
                <w:rFonts w:ascii="仿宋_GB2312" w:eastAsia="仿宋_GB2312"/>
                <w:sz w:val="28"/>
                <w:szCs w:val="28"/>
              </w:rPr>
            </w:pPr>
          </w:p>
        </w:tc>
      </w:tr>
    </w:tbl>
    <w:p w:rsidR="00422662" w:rsidRPr="00A00363" w:rsidRDefault="00422662" w:rsidP="00422662">
      <w:pPr>
        <w:ind w:firstLineChars="200" w:firstLine="31680"/>
        <w:rPr>
          <w:rFonts w:ascii="仿宋" w:eastAsia="仿宋" w:hAnsi="仿宋"/>
          <w:sz w:val="32"/>
          <w:szCs w:val="32"/>
        </w:rPr>
      </w:pPr>
      <w:r w:rsidRPr="00A00363">
        <w:rPr>
          <w:rFonts w:ascii="仿宋" w:eastAsia="仿宋" w:hAnsi="仿宋"/>
          <w:sz w:val="32"/>
          <w:szCs w:val="32"/>
        </w:rPr>
        <w:t>2.</w:t>
      </w:r>
      <w:r w:rsidRPr="00A00363">
        <w:rPr>
          <w:rFonts w:ascii="仿宋" w:eastAsia="仿宋" w:hAnsi="仿宋" w:hint="eastAsia"/>
          <w:sz w:val="32"/>
          <w:szCs w:val="32"/>
        </w:rPr>
        <w:t>对发现的问题进行说明，并对产生问题的原因进行分析。</w:t>
      </w:r>
    </w:p>
    <w:p w:rsidR="00422662" w:rsidRPr="00A00363" w:rsidRDefault="00422662" w:rsidP="008A799D">
      <w:pPr>
        <w:spacing w:line="360" w:lineRule="auto"/>
        <w:ind w:firstLineChars="200" w:firstLine="31680"/>
        <w:contextualSpacing/>
        <w:rPr>
          <w:rFonts w:ascii="仿宋" w:eastAsia="仿宋" w:hAnsi="仿宋"/>
          <w:sz w:val="32"/>
          <w:szCs w:val="32"/>
        </w:rPr>
      </w:pPr>
      <w:r w:rsidRPr="00A00363">
        <w:rPr>
          <w:rFonts w:ascii="仿宋" w:eastAsia="仿宋" w:hAnsi="仿宋" w:hint="eastAsia"/>
          <w:sz w:val="32"/>
          <w:szCs w:val="32"/>
        </w:rPr>
        <w:t>四、整改措施</w:t>
      </w:r>
    </w:p>
    <w:p w:rsidR="00422662" w:rsidRPr="00A00363" w:rsidRDefault="00422662" w:rsidP="008A799D">
      <w:pPr>
        <w:spacing w:line="360" w:lineRule="auto"/>
        <w:ind w:firstLineChars="200" w:firstLine="31680"/>
        <w:contextualSpacing/>
        <w:rPr>
          <w:rFonts w:ascii="仿宋" w:eastAsia="仿宋" w:hAnsi="仿宋"/>
          <w:sz w:val="32"/>
          <w:szCs w:val="32"/>
        </w:rPr>
      </w:pPr>
      <w:r w:rsidRPr="00A00363">
        <w:rPr>
          <w:rFonts w:ascii="仿宋" w:eastAsia="仿宋" w:hAnsi="仿宋" w:hint="eastAsia"/>
          <w:sz w:val="32"/>
          <w:szCs w:val="32"/>
        </w:rPr>
        <w:t>结合自查存在的问题，有针对性的提出整改措施。</w:t>
      </w:r>
    </w:p>
    <w:p w:rsidR="00422662" w:rsidRPr="00A00363" w:rsidRDefault="00422662" w:rsidP="008A799D">
      <w:pPr>
        <w:ind w:firstLineChars="200" w:firstLine="31680"/>
        <w:rPr>
          <w:rFonts w:ascii="仿宋" w:eastAsia="仿宋" w:hAnsi="仿宋"/>
          <w:sz w:val="32"/>
          <w:szCs w:val="32"/>
        </w:rPr>
      </w:pPr>
      <w:r w:rsidRPr="00A00363">
        <w:rPr>
          <w:rFonts w:ascii="仿宋" w:eastAsia="仿宋" w:hAnsi="仿宋" w:hint="eastAsia"/>
          <w:sz w:val="32"/>
          <w:szCs w:val="32"/>
        </w:rPr>
        <w:t>五、工作建议（对资产评估行业发展和监管方面的意见及建议等）。</w:t>
      </w:r>
    </w:p>
    <w:p w:rsidR="00422662" w:rsidRPr="00A00363" w:rsidRDefault="00422662" w:rsidP="008A799D">
      <w:pPr>
        <w:widowControl/>
        <w:spacing w:line="560" w:lineRule="exact"/>
        <w:ind w:firstLineChars="200" w:firstLine="31680"/>
        <w:jc w:val="left"/>
        <w:rPr>
          <w:rFonts w:ascii="仿宋" w:eastAsia="仿宋" w:hAnsi="仿宋"/>
          <w:sz w:val="32"/>
          <w:szCs w:val="32"/>
        </w:rPr>
      </w:pPr>
      <w:r w:rsidRPr="00A00363">
        <w:rPr>
          <w:rFonts w:ascii="仿宋" w:eastAsia="仿宋" w:hAnsi="仿宋" w:hint="eastAsia"/>
          <w:sz w:val="32"/>
          <w:szCs w:val="32"/>
        </w:rPr>
        <w:t>六、资产评估机构及法定代表人申明</w:t>
      </w:r>
    </w:p>
    <w:p w:rsidR="00422662" w:rsidRPr="00A00363" w:rsidRDefault="00422662" w:rsidP="008A799D">
      <w:pPr>
        <w:widowControl/>
        <w:spacing w:line="560" w:lineRule="exact"/>
        <w:ind w:firstLineChars="200" w:firstLine="31680"/>
        <w:jc w:val="left"/>
        <w:rPr>
          <w:rFonts w:ascii="仿宋" w:eastAsia="仿宋" w:hAnsi="仿宋"/>
          <w:sz w:val="32"/>
          <w:szCs w:val="32"/>
        </w:rPr>
      </w:pPr>
      <w:r w:rsidRPr="00A00363">
        <w:rPr>
          <w:rFonts w:ascii="仿宋" w:eastAsia="仿宋" w:hAnsi="仿宋" w:hint="eastAsia"/>
          <w:sz w:val="32"/>
          <w:szCs w:val="32"/>
        </w:rPr>
        <w:t>本人及所在资产评估机构慎重承诺：自查报告及附表内容如实填报，由本人签署并按相关要求报送。</w:t>
      </w:r>
    </w:p>
    <w:p w:rsidR="00422662" w:rsidRPr="00A00363" w:rsidRDefault="00422662" w:rsidP="00DF3BAB">
      <w:pPr>
        <w:widowControl/>
        <w:spacing w:line="560" w:lineRule="exact"/>
        <w:jc w:val="left"/>
        <w:rPr>
          <w:rFonts w:ascii="仿宋" w:eastAsia="仿宋" w:hAnsi="仿宋"/>
          <w:sz w:val="32"/>
          <w:szCs w:val="32"/>
        </w:rPr>
      </w:pPr>
    </w:p>
    <w:p w:rsidR="00422662" w:rsidRPr="00A00363" w:rsidRDefault="00422662" w:rsidP="008A799D">
      <w:pPr>
        <w:widowControl/>
        <w:spacing w:line="560" w:lineRule="exact"/>
        <w:ind w:firstLineChars="500" w:firstLine="31680"/>
        <w:jc w:val="left"/>
        <w:rPr>
          <w:rFonts w:ascii="仿宋" w:eastAsia="仿宋" w:hAnsi="仿宋"/>
          <w:sz w:val="32"/>
          <w:szCs w:val="32"/>
          <w:u w:val="single"/>
        </w:rPr>
      </w:pPr>
      <w:r w:rsidRPr="00A00363">
        <w:rPr>
          <w:rFonts w:ascii="仿宋" w:eastAsia="仿宋" w:hAnsi="仿宋" w:hint="eastAsia"/>
          <w:sz w:val="32"/>
          <w:szCs w:val="32"/>
        </w:rPr>
        <w:t>资产评估机构法定代表人签名：</w:t>
      </w:r>
      <w:r w:rsidRPr="00A00363">
        <w:rPr>
          <w:rFonts w:ascii="仿宋" w:eastAsia="仿宋" w:hAnsi="仿宋"/>
          <w:sz w:val="32"/>
          <w:szCs w:val="32"/>
          <w:u w:val="single"/>
        </w:rPr>
        <w:t xml:space="preserve">          </w:t>
      </w:r>
    </w:p>
    <w:p w:rsidR="00422662" w:rsidRPr="00A00363" w:rsidRDefault="00422662" w:rsidP="00DF3BAB">
      <w:pPr>
        <w:spacing w:line="360" w:lineRule="auto"/>
        <w:ind w:right="2560"/>
        <w:contextualSpacing/>
        <w:rPr>
          <w:rFonts w:ascii="仿宋" w:eastAsia="仿宋" w:hAnsi="仿宋"/>
          <w:sz w:val="32"/>
          <w:szCs w:val="32"/>
        </w:rPr>
      </w:pPr>
    </w:p>
    <w:p w:rsidR="00422662" w:rsidRPr="00A00363" w:rsidRDefault="00422662" w:rsidP="00DF3BAB">
      <w:pPr>
        <w:spacing w:line="360" w:lineRule="auto"/>
        <w:ind w:right="2560"/>
        <w:contextualSpacing/>
        <w:rPr>
          <w:rFonts w:ascii="仿宋" w:eastAsia="仿宋" w:hAnsi="仿宋"/>
          <w:sz w:val="32"/>
          <w:szCs w:val="32"/>
        </w:rPr>
      </w:pPr>
    </w:p>
    <w:p w:rsidR="00422662" w:rsidRPr="00A00363" w:rsidRDefault="00422662" w:rsidP="00DF3BAB">
      <w:pPr>
        <w:wordWrap w:val="0"/>
        <w:jc w:val="right"/>
        <w:rPr>
          <w:rFonts w:ascii="仿宋" w:eastAsia="仿宋" w:hAnsi="仿宋"/>
          <w:sz w:val="32"/>
          <w:szCs w:val="32"/>
        </w:rPr>
      </w:pPr>
      <w:r w:rsidRPr="00A00363">
        <w:rPr>
          <w:rFonts w:ascii="仿宋" w:eastAsia="仿宋" w:hAnsi="仿宋" w:hint="eastAsia"/>
          <w:sz w:val="32"/>
          <w:szCs w:val="32"/>
        </w:rPr>
        <w:t>资产评估机构（盖章）：</w:t>
      </w:r>
    </w:p>
    <w:p w:rsidR="00422662" w:rsidRPr="00A00363" w:rsidRDefault="00422662" w:rsidP="00DF3BAB">
      <w:pPr>
        <w:jc w:val="right"/>
        <w:rPr>
          <w:rFonts w:ascii="仿宋" w:eastAsia="仿宋" w:hAnsi="仿宋"/>
          <w:sz w:val="32"/>
          <w:szCs w:val="32"/>
        </w:rPr>
      </w:pPr>
    </w:p>
    <w:p w:rsidR="00422662" w:rsidRPr="00A00363" w:rsidRDefault="00422662" w:rsidP="00DF3BAB">
      <w:pPr>
        <w:jc w:val="right"/>
        <w:rPr>
          <w:rFonts w:ascii="仿宋" w:eastAsia="仿宋" w:hAnsi="仿宋"/>
          <w:sz w:val="32"/>
          <w:szCs w:val="32"/>
        </w:rPr>
      </w:pPr>
      <w:r w:rsidRPr="00A00363">
        <w:rPr>
          <w:rFonts w:ascii="仿宋" w:eastAsia="仿宋" w:hAnsi="仿宋"/>
          <w:sz w:val="32"/>
          <w:szCs w:val="32"/>
        </w:rPr>
        <w:t>XXXX</w:t>
      </w:r>
      <w:r w:rsidRPr="00A00363">
        <w:rPr>
          <w:rFonts w:ascii="仿宋" w:eastAsia="仿宋" w:hAnsi="仿宋" w:hint="eastAsia"/>
          <w:sz w:val="32"/>
          <w:szCs w:val="32"/>
        </w:rPr>
        <w:t>年</w:t>
      </w:r>
      <w:r w:rsidRPr="00A00363">
        <w:rPr>
          <w:rFonts w:ascii="仿宋" w:eastAsia="仿宋" w:hAnsi="仿宋"/>
          <w:sz w:val="32"/>
          <w:szCs w:val="32"/>
        </w:rPr>
        <w:t xml:space="preserve"> XX</w:t>
      </w:r>
      <w:r w:rsidRPr="00A00363">
        <w:rPr>
          <w:rFonts w:ascii="仿宋" w:eastAsia="仿宋" w:hAnsi="仿宋" w:hint="eastAsia"/>
          <w:sz w:val="32"/>
          <w:szCs w:val="32"/>
        </w:rPr>
        <w:t>月</w:t>
      </w:r>
      <w:r w:rsidRPr="00A00363">
        <w:rPr>
          <w:rFonts w:ascii="仿宋" w:eastAsia="仿宋" w:hAnsi="仿宋"/>
          <w:sz w:val="32"/>
          <w:szCs w:val="32"/>
        </w:rPr>
        <w:t>XX</w:t>
      </w:r>
      <w:r w:rsidRPr="00A00363">
        <w:rPr>
          <w:rFonts w:ascii="仿宋" w:eastAsia="仿宋" w:hAnsi="仿宋" w:hint="eastAsia"/>
          <w:sz w:val="32"/>
          <w:szCs w:val="32"/>
        </w:rPr>
        <w:t>日</w:t>
      </w:r>
    </w:p>
    <w:sectPr w:rsidR="00422662" w:rsidRPr="00A00363" w:rsidSect="003057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662" w:rsidRDefault="00422662" w:rsidP="00DF3BAB">
      <w:r>
        <w:separator/>
      </w:r>
    </w:p>
  </w:endnote>
  <w:endnote w:type="continuationSeparator" w:id="0">
    <w:p w:rsidR="00422662" w:rsidRDefault="00422662" w:rsidP="00DF3B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662" w:rsidRDefault="00422662" w:rsidP="00DF3BAB">
      <w:r>
        <w:separator/>
      </w:r>
    </w:p>
  </w:footnote>
  <w:footnote w:type="continuationSeparator" w:id="0">
    <w:p w:rsidR="00422662" w:rsidRDefault="00422662" w:rsidP="00DF3B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5526D"/>
    <w:multiLevelType w:val="hybridMultilevel"/>
    <w:tmpl w:val="943C6B6C"/>
    <w:lvl w:ilvl="0" w:tplc="AD1C99C4">
      <w:start w:val="3"/>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2C242C58"/>
    <w:multiLevelType w:val="hybridMultilevel"/>
    <w:tmpl w:val="4BEAC112"/>
    <w:lvl w:ilvl="0" w:tplc="27D8F73C">
      <w:start w:val="1"/>
      <w:numFmt w:val="japaneseCounting"/>
      <w:lvlText w:val="%1、"/>
      <w:lvlJc w:val="left"/>
      <w:pPr>
        <w:ind w:left="840" w:hanging="4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
    <w:nsid w:val="6EEF28E7"/>
    <w:multiLevelType w:val="hybridMultilevel"/>
    <w:tmpl w:val="41EC5D9C"/>
    <w:lvl w:ilvl="0" w:tplc="7848C2C2">
      <w:start w:val="5"/>
      <w:numFmt w:val="japaneseCounting"/>
      <w:lvlText w:val="%1、"/>
      <w:lvlJc w:val="left"/>
      <w:pPr>
        <w:ind w:left="1582" w:hanging="720"/>
      </w:pPr>
      <w:rPr>
        <w:rFonts w:ascii="黑体" w:eastAsia="黑体" w:hAnsi="黑体" w:cs="Times New Roman" w:hint="default"/>
      </w:rPr>
    </w:lvl>
    <w:lvl w:ilvl="1" w:tplc="04090019" w:tentative="1">
      <w:start w:val="1"/>
      <w:numFmt w:val="lowerLetter"/>
      <w:lvlText w:val="%2)"/>
      <w:lvlJc w:val="left"/>
      <w:pPr>
        <w:ind w:left="1702" w:hanging="420"/>
      </w:pPr>
      <w:rPr>
        <w:rFonts w:cs="Times New Roman"/>
      </w:rPr>
    </w:lvl>
    <w:lvl w:ilvl="2" w:tplc="0409001B" w:tentative="1">
      <w:start w:val="1"/>
      <w:numFmt w:val="lowerRoman"/>
      <w:lvlText w:val="%3."/>
      <w:lvlJc w:val="right"/>
      <w:pPr>
        <w:ind w:left="2122" w:hanging="420"/>
      </w:pPr>
      <w:rPr>
        <w:rFonts w:cs="Times New Roman"/>
      </w:rPr>
    </w:lvl>
    <w:lvl w:ilvl="3" w:tplc="0409000F" w:tentative="1">
      <w:start w:val="1"/>
      <w:numFmt w:val="decimal"/>
      <w:lvlText w:val="%4."/>
      <w:lvlJc w:val="left"/>
      <w:pPr>
        <w:ind w:left="2542" w:hanging="420"/>
      </w:pPr>
      <w:rPr>
        <w:rFonts w:cs="Times New Roman"/>
      </w:rPr>
    </w:lvl>
    <w:lvl w:ilvl="4" w:tplc="04090019" w:tentative="1">
      <w:start w:val="1"/>
      <w:numFmt w:val="lowerLetter"/>
      <w:lvlText w:val="%5)"/>
      <w:lvlJc w:val="left"/>
      <w:pPr>
        <w:ind w:left="2962" w:hanging="420"/>
      </w:pPr>
      <w:rPr>
        <w:rFonts w:cs="Times New Roman"/>
      </w:rPr>
    </w:lvl>
    <w:lvl w:ilvl="5" w:tplc="0409001B" w:tentative="1">
      <w:start w:val="1"/>
      <w:numFmt w:val="lowerRoman"/>
      <w:lvlText w:val="%6."/>
      <w:lvlJc w:val="right"/>
      <w:pPr>
        <w:ind w:left="3382" w:hanging="420"/>
      </w:pPr>
      <w:rPr>
        <w:rFonts w:cs="Times New Roman"/>
      </w:rPr>
    </w:lvl>
    <w:lvl w:ilvl="6" w:tplc="0409000F" w:tentative="1">
      <w:start w:val="1"/>
      <w:numFmt w:val="decimal"/>
      <w:lvlText w:val="%7."/>
      <w:lvlJc w:val="left"/>
      <w:pPr>
        <w:ind w:left="3802" w:hanging="420"/>
      </w:pPr>
      <w:rPr>
        <w:rFonts w:cs="Times New Roman"/>
      </w:rPr>
    </w:lvl>
    <w:lvl w:ilvl="7" w:tplc="04090019" w:tentative="1">
      <w:start w:val="1"/>
      <w:numFmt w:val="lowerLetter"/>
      <w:lvlText w:val="%8)"/>
      <w:lvlJc w:val="left"/>
      <w:pPr>
        <w:ind w:left="4222" w:hanging="420"/>
      </w:pPr>
      <w:rPr>
        <w:rFonts w:cs="Times New Roman"/>
      </w:rPr>
    </w:lvl>
    <w:lvl w:ilvl="8" w:tplc="0409001B" w:tentative="1">
      <w:start w:val="1"/>
      <w:numFmt w:val="lowerRoman"/>
      <w:lvlText w:val="%9."/>
      <w:lvlJc w:val="right"/>
      <w:pPr>
        <w:ind w:left="4642" w:hanging="420"/>
      </w:pPr>
      <w:rPr>
        <w:rFonts w:cs="Times New Roman"/>
      </w:rPr>
    </w:lvl>
  </w:abstractNum>
  <w:abstractNum w:abstractNumId="3">
    <w:nsid w:val="7C454062"/>
    <w:multiLevelType w:val="hybridMultilevel"/>
    <w:tmpl w:val="C8DE6912"/>
    <w:lvl w:ilvl="0" w:tplc="D91A71BC">
      <w:start w:val="3"/>
      <w:numFmt w:val="japaneseCounting"/>
      <w:lvlText w:val="%1、"/>
      <w:lvlJc w:val="left"/>
      <w:pPr>
        <w:ind w:left="862"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1D7E"/>
    <w:rsid w:val="00166167"/>
    <w:rsid w:val="002D620A"/>
    <w:rsid w:val="00305728"/>
    <w:rsid w:val="00422662"/>
    <w:rsid w:val="006C1D7E"/>
    <w:rsid w:val="00704DF2"/>
    <w:rsid w:val="00707986"/>
    <w:rsid w:val="007D00D9"/>
    <w:rsid w:val="008A799D"/>
    <w:rsid w:val="009308AE"/>
    <w:rsid w:val="009443F3"/>
    <w:rsid w:val="00A00363"/>
    <w:rsid w:val="00C15E90"/>
    <w:rsid w:val="00DF3BAB"/>
    <w:rsid w:val="00E2156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D7E"/>
    <w:pPr>
      <w:widowControl w:val="0"/>
      <w:jc w:val="both"/>
    </w:pPr>
    <w:rPr>
      <w:rFonts w:eastAsia="宋体"/>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1D7E"/>
    <w:pPr>
      <w:ind w:firstLineChars="200" w:firstLine="420"/>
    </w:pPr>
  </w:style>
  <w:style w:type="table" w:styleId="TableGrid">
    <w:name w:val="Table Grid"/>
    <w:basedOn w:val="TableNormal"/>
    <w:uiPriority w:val="99"/>
    <w:rsid w:val="002D620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F3BA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DF3BAB"/>
    <w:rPr>
      <w:rFonts w:eastAsia="宋体" w:cs="Times New Roman"/>
      <w:sz w:val="18"/>
      <w:szCs w:val="18"/>
    </w:rPr>
  </w:style>
  <w:style w:type="paragraph" w:styleId="Footer">
    <w:name w:val="footer"/>
    <w:basedOn w:val="Normal"/>
    <w:link w:val="FooterChar"/>
    <w:uiPriority w:val="99"/>
    <w:rsid w:val="00DF3BA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DF3BAB"/>
    <w:rPr>
      <w:rFonts w:eastAsia="宋体"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144</Words>
  <Characters>827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丝丝 李</dc:creator>
  <cp:keywords/>
  <dc:description/>
  <cp:lastModifiedBy>mei</cp:lastModifiedBy>
  <cp:revision>2</cp:revision>
  <dcterms:created xsi:type="dcterms:W3CDTF">2021-10-22T07:27:00Z</dcterms:created>
  <dcterms:modified xsi:type="dcterms:W3CDTF">2021-10-22T07:27:00Z</dcterms:modified>
</cp:coreProperties>
</file>