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9ECD5" w14:textId="203CB12A" w:rsidR="00127A66" w:rsidRPr="00446A15" w:rsidRDefault="00127A66" w:rsidP="00127A66">
      <w:pPr>
        <w:spacing w:before="100" w:beforeAutospacing="1" w:after="100" w:afterAutospacing="1" w:line="360" w:lineRule="auto"/>
        <w:jc w:val="left"/>
        <w:rPr>
          <w:rFonts w:ascii="黑体" w:eastAsia="黑体" w:hAnsi="黑体"/>
          <w:sz w:val="32"/>
          <w:szCs w:val="32"/>
        </w:rPr>
      </w:pPr>
      <w:r w:rsidRPr="00296331">
        <w:rPr>
          <w:rFonts w:ascii="黑体" w:eastAsia="黑体" w:hAnsi="黑体" w:hint="eastAsia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296331">
        <w:rPr>
          <w:rFonts w:ascii="黑体" w:eastAsia="黑体" w:hAnsi="黑体" w:hint="eastAsia"/>
          <w:sz w:val="32"/>
          <w:szCs w:val="32"/>
        </w:rPr>
        <w:instrText>ADDIN CNKISM.UserStyle</w:instrText>
      </w:r>
      <w:r w:rsidRPr="00296331">
        <w:rPr>
          <w:rFonts w:ascii="黑体" w:eastAsia="黑体" w:hAnsi="黑体" w:hint="eastAsia"/>
          <w:sz w:val="32"/>
          <w:szCs w:val="32"/>
        </w:rPr>
      </w:r>
      <w:r w:rsidRPr="00296331">
        <w:rPr>
          <w:rFonts w:ascii="黑体" w:eastAsia="黑体" w:hAnsi="黑体" w:hint="eastAsia"/>
          <w:sz w:val="32"/>
          <w:szCs w:val="32"/>
        </w:rPr>
        <w:fldChar w:fldCharType="end"/>
      </w:r>
      <w:r w:rsidRPr="00296331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514405CF" w14:textId="77777777" w:rsidR="000D75EC" w:rsidRDefault="006B6876" w:rsidP="000D75EC">
      <w:pPr>
        <w:autoSpaceDE/>
        <w:autoSpaceDN/>
        <w:adjustRightInd/>
        <w:spacing w:line="620" w:lineRule="atLeast"/>
        <w:jc w:val="center"/>
        <w:rPr>
          <w:rFonts w:ascii="华文中宋" w:eastAsia="华文中宋" w:hAnsi="华文中宋"/>
          <w:spacing w:val="0"/>
          <w:sz w:val="44"/>
          <w:szCs w:val="44"/>
        </w:rPr>
      </w:pPr>
      <w:r w:rsidRPr="00AB00BF">
        <w:rPr>
          <w:rFonts w:ascii="华文中宋" w:eastAsia="华文中宋" w:hAnsi="华文中宋" w:hint="eastAsia"/>
          <w:spacing w:val="0"/>
          <w:sz w:val="44"/>
          <w:szCs w:val="44"/>
        </w:rPr>
        <w:t>收益法</w:t>
      </w:r>
      <w:r w:rsidR="00C266D8" w:rsidRPr="00AB00BF">
        <w:rPr>
          <w:rFonts w:ascii="华文中宋" w:eastAsia="华文中宋" w:hAnsi="华文中宋" w:hint="eastAsia"/>
          <w:spacing w:val="0"/>
          <w:sz w:val="44"/>
          <w:szCs w:val="44"/>
        </w:rPr>
        <w:t>评估</w:t>
      </w:r>
      <w:r w:rsidR="003A2D5A" w:rsidRPr="00AB00BF">
        <w:rPr>
          <w:rFonts w:ascii="华文中宋" w:eastAsia="华文中宋" w:hAnsi="华文中宋" w:hint="eastAsia"/>
          <w:spacing w:val="0"/>
          <w:sz w:val="44"/>
          <w:szCs w:val="44"/>
        </w:rPr>
        <w:t>企业价值</w:t>
      </w:r>
      <w:r w:rsidRPr="00AB00BF">
        <w:rPr>
          <w:rFonts w:ascii="华文中宋" w:eastAsia="华文中宋" w:hAnsi="华文中宋" w:hint="eastAsia"/>
          <w:spacing w:val="0"/>
          <w:sz w:val="44"/>
          <w:szCs w:val="44"/>
        </w:rPr>
        <w:t>中</w:t>
      </w:r>
      <w:r w:rsidR="00342E68" w:rsidRPr="00AB00BF">
        <w:rPr>
          <w:rFonts w:ascii="华文中宋" w:eastAsia="华文中宋" w:hAnsi="华文中宋" w:hint="eastAsia"/>
          <w:spacing w:val="0"/>
          <w:sz w:val="44"/>
          <w:szCs w:val="44"/>
        </w:rPr>
        <w:t>的</w:t>
      </w:r>
      <w:r w:rsidR="00C266D8" w:rsidRPr="00AB00BF">
        <w:rPr>
          <w:rFonts w:ascii="华文中宋" w:eastAsia="华文中宋" w:hAnsi="华文中宋" w:hint="eastAsia"/>
          <w:spacing w:val="0"/>
          <w:sz w:val="44"/>
          <w:szCs w:val="44"/>
        </w:rPr>
        <w:t>折现率测算</w:t>
      </w:r>
    </w:p>
    <w:p w14:paraId="5493B917" w14:textId="399FBFB3" w:rsidR="00775147" w:rsidRPr="00AB00BF" w:rsidRDefault="0078650A" w:rsidP="000D75EC">
      <w:pPr>
        <w:autoSpaceDE/>
        <w:autoSpaceDN/>
        <w:adjustRightInd/>
        <w:spacing w:line="620" w:lineRule="atLeast"/>
        <w:jc w:val="center"/>
        <w:rPr>
          <w:rFonts w:ascii="华文中宋" w:eastAsia="华文中宋" w:hAnsi="华文中宋"/>
          <w:spacing w:val="0"/>
          <w:sz w:val="44"/>
          <w:szCs w:val="44"/>
        </w:rPr>
      </w:pPr>
      <w:r w:rsidRPr="00AB00BF">
        <w:rPr>
          <w:rFonts w:ascii="华文中宋" w:eastAsia="华文中宋" w:hAnsi="华文中宋" w:hint="eastAsia"/>
          <w:spacing w:val="0"/>
          <w:sz w:val="44"/>
          <w:szCs w:val="44"/>
        </w:rPr>
        <w:t>专家指引</w:t>
      </w:r>
    </w:p>
    <w:p w14:paraId="3F88D38F" w14:textId="4230847E" w:rsidR="00B3003A" w:rsidRPr="00AB00BF" w:rsidRDefault="00F46CA0" w:rsidP="0078650A">
      <w:pPr>
        <w:autoSpaceDE/>
        <w:autoSpaceDN/>
        <w:adjustRightInd/>
        <w:spacing w:line="620" w:lineRule="atLeast"/>
        <w:jc w:val="center"/>
        <w:rPr>
          <w:rFonts w:ascii="华文中宋" w:eastAsia="华文中宋" w:hAnsi="华文中宋"/>
          <w:spacing w:val="0"/>
          <w:sz w:val="44"/>
          <w:szCs w:val="44"/>
        </w:rPr>
      </w:pPr>
      <w:r w:rsidRPr="00AB00BF">
        <w:rPr>
          <w:rFonts w:ascii="华文中宋" w:eastAsia="华文中宋" w:hAnsi="华文中宋" w:hint="eastAsia"/>
          <w:spacing w:val="0"/>
          <w:sz w:val="44"/>
          <w:szCs w:val="44"/>
        </w:rPr>
        <w:t>(</w:t>
      </w:r>
      <w:r w:rsidR="00677DFE" w:rsidRPr="00AB00BF">
        <w:rPr>
          <w:rFonts w:ascii="华文中宋" w:eastAsia="华文中宋" w:hAnsi="华文中宋" w:hint="eastAsia"/>
          <w:spacing w:val="0"/>
          <w:sz w:val="44"/>
          <w:szCs w:val="44"/>
        </w:rPr>
        <w:t>征求意见</w:t>
      </w:r>
      <w:r w:rsidRPr="00AB00BF">
        <w:rPr>
          <w:rFonts w:ascii="华文中宋" w:eastAsia="华文中宋" w:hAnsi="华文中宋" w:hint="eastAsia"/>
          <w:spacing w:val="0"/>
          <w:sz w:val="44"/>
          <w:szCs w:val="44"/>
        </w:rPr>
        <w:t>稿)</w:t>
      </w:r>
    </w:p>
    <w:p w14:paraId="70F1C427" w14:textId="77777777" w:rsidR="00F46CA0" w:rsidRDefault="00F46CA0" w:rsidP="006B6876">
      <w:pPr>
        <w:ind w:firstLineChars="200" w:firstLine="664"/>
        <w:rPr>
          <w:rFonts w:eastAsia="宋体"/>
          <w:sz w:val="32"/>
          <w:szCs w:val="32"/>
        </w:rPr>
      </w:pPr>
    </w:p>
    <w:p w14:paraId="449220C6" w14:textId="46AB4CC7" w:rsidR="006B6876" w:rsidRPr="00127A66" w:rsidRDefault="006B6876" w:rsidP="00127A66">
      <w:pPr>
        <w:autoSpaceDE/>
        <w:autoSpaceDN/>
        <w:adjustRightInd/>
        <w:snapToGrid/>
        <w:spacing w:line="620" w:lineRule="atLeast"/>
        <w:ind w:firstLineChars="200" w:firstLine="640"/>
        <w:rPr>
          <w:rFonts w:ascii="仿宋_GB2312" w:hAnsi="仿宋"/>
          <w:spacing w:val="0"/>
          <w:sz w:val="32"/>
          <w:szCs w:val="32"/>
        </w:rPr>
      </w:pPr>
      <w:r w:rsidRPr="00127A66">
        <w:rPr>
          <w:rFonts w:ascii="仿宋_GB2312" w:hAnsi="仿宋" w:hint="eastAsia"/>
          <w:spacing w:val="0"/>
          <w:sz w:val="32"/>
          <w:szCs w:val="32"/>
        </w:rPr>
        <w:t>本专家指引是一种专家建议。</w:t>
      </w:r>
      <w:r w:rsidR="00A07F08" w:rsidRPr="00127A66">
        <w:rPr>
          <w:rFonts w:ascii="仿宋_GB2312" w:hAnsi="仿宋" w:hint="eastAsia"/>
          <w:spacing w:val="0"/>
          <w:sz w:val="32"/>
          <w:szCs w:val="32"/>
        </w:rPr>
        <w:t>资产</w:t>
      </w:r>
      <w:r w:rsidRPr="00127A66">
        <w:rPr>
          <w:rFonts w:ascii="仿宋_GB2312" w:hAnsi="仿宋" w:hint="eastAsia"/>
          <w:spacing w:val="0"/>
          <w:sz w:val="32"/>
          <w:szCs w:val="32"/>
        </w:rPr>
        <w:t>评估机构执行资产评估业务，可以参照本专家指引。中国资产评估协会将根据业务发展，对本专家指引进行更新。</w:t>
      </w:r>
    </w:p>
    <w:p w14:paraId="7D23ACC9" w14:textId="5FD91398" w:rsidR="00AF2895" w:rsidRPr="008243EA" w:rsidRDefault="00AF2895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第一章 引言</w:t>
      </w:r>
    </w:p>
    <w:p w14:paraId="38809685" w14:textId="78DE4ABD" w:rsidR="00AF2895" w:rsidRPr="008243EA" w:rsidRDefault="00AF2895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仿宋_GB2312" w:hAnsi="仿宋"/>
          <w:spacing w:val="0"/>
          <w:sz w:val="32"/>
          <w:szCs w:val="32"/>
        </w:rPr>
      </w:pPr>
      <w:r w:rsidRPr="008243EA">
        <w:rPr>
          <w:rFonts w:ascii="仿宋_GB2312" w:hAnsi="仿宋" w:hint="eastAsia"/>
          <w:b/>
          <w:spacing w:val="0"/>
          <w:sz w:val="32"/>
          <w:szCs w:val="32"/>
        </w:rPr>
        <w:t>第一条</w:t>
      </w:r>
      <w:r w:rsidRPr="00AF2895">
        <w:rPr>
          <w:rFonts w:eastAsia="宋体" w:hint="eastAsia"/>
          <w:sz w:val="32"/>
          <w:szCs w:val="28"/>
        </w:rPr>
        <w:t xml:space="preserve"> </w:t>
      </w:r>
      <w:r w:rsidRPr="008243EA">
        <w:rPr>
          <w:rFonts w:ascii="仿宋_GB2312" w:hAnsi="仿宋" w:hint="eastAsia"/>
          <w:spacing w:val="0"/>
          <w:sz w:val="32"/>
          <w:szCs w:val="32"/>
        </w:rPr>
        <w:t>为指导资产评估专业人员</w:t>
      </w:r>
      <w:r w:rsidR="00B007A3" w:rsidRPr="008243EA">
        <w:rPr>
          <w:rFonts w:ascii="仿宋_GB2312" w:hAnsi="仿宋" w:hint="eastAsia"/>
          <w:spacing w:val="0"/>
          <w:sz w:val="32"/>
          <w:szCs w:val="32"/>
        </w:rPr>
        <w:t>在</w:t>
      </w:r>
      <w:r w:rsidRPr="008243EA">
        <w:rPr>
          <w:rFonts w:ascii="仿宋_GB2312" w:hAnsi="仿宋" w:hint="eastAsia"/>
          <w:spacing w:val="0"/>
          <w:sz w:val="32"/>
          <w:szCs w:val="32"/>
        </w:rPr>
        <w:t>运用收益法评估</w:t>
      </w:r>
      <w:r w:rsidR="00EB7987" w:rsidRPr="008243EA">
        <w:rPr>
          <w:rFonts w:ascii="仿宋_GB2312" w:hAnsi="仿宋" w:hint="eastAsia"/>
          <w:spacing w:val="0"/>
          <w:sz w:val="32"/>
          <w:szCs w:val="32"/>
        </w:rPr>
        <w:t>企业价值</w:t>
      </w:r>
      <w:r w:rsidRPr="008243EA">
        <w:rPr>
          <w:rFonts w:ascii="仿宋_GB2312" w:hAnsi="仿宋" w:hint="eastAsia"/>
          <w:spacing w:val="0"/>
          <w:sz w:val="32"/>
          <w:szCs w:val="32"/>
        </w:rPr>
        <w:t>时</w:t>
      </w:r>
      <w:bookmarkStart w:id="0" w:name="_Hlk56169481"/>
      <w:r w:rsidRPr="008243EA">
        <w:rPr>
          <w:rFonts w:ascii="仿宋_GB2312" w:hAnsi="仿宋" w:hint="eastAsia"/>
          <w:spacing w:val="0"/>
          <w:sz w:val="32"/>
          <w:szCs w:val="32"/>
        </w:rPr>
        <w:t>合理</w:t>
      </w:r>
      <w:r w:rsidR="009441A0" w:rsidRPr="008243EA">
        <w:rPr>
          <w:rFonts w:ascii="仿宋_GB2312" w:hAnsi="仿宋" w:hint="eastAsia"/>
          <w:spacing w:val="0"/>
          <w:sz w:val="32"/>
          <w:szCs w:val="32"/>
        </w:rPr>
        <w:t>测算预期收益的</w:t>
      </w:r>
      <w:r w:rsidRPr="008243EA">
        <w:rPr>
          <w:rFonts w:ascii="仿宋_GB2312" w:hAnsi="仿宋" w:hint="eastAsia"/>
          <w:spacing w:val="0"/>
          <w:sz w:val="32"/>
          <w:szCs w:val="32"/>
        </w:rPr>
        <w:t>折现率</w:t>
      </w:r>
      <w:bookmarkEnd w:id="0"/>
      <w:r w:rsidRPr="008243EA">
        <w:rPr>
          <w:rFonts w:ascii="仿宋_GB2312" w:hAnsi="仿宋" w:hint="eastAsia"/>
          <w:spacing w:val="0"/>
          <w:sz w:val="32"/>
          <w:szCs w:val="32"/>
        </w:rPr>
        <w:t>，中国资产评估协会组织制定了本专家指引。</w:t>
      </w:r>
    </w:p>
    <w:p w14:paraId="06457815" w14:textId="77777777" w:rsidR="00115BA5" w:rsidRPr="008243EA" w:rsidRDefault="00AF2895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仿宋_GB2312" w:hAnsi="仿宋"/>
          <w:spacing w:val="0"/>
          <w:sz w:val="32"/>
          <w:szCs w:val="32"/>
        </w:rPr>
      </w:pPr>
      <w:r w:rsidRPr="008243EA">
        <w:rPr>
          <w:rFonts w:ascii="仿宋_GB2312" w:hAnsi="仿宋" w:hint="eastAsia"/>
          <w:b/>
          <w:spacing w:val="0"/>
          <w:sz w:val="32"/>
          <w:szCs w:val="32"/>
        </w:rPr>
        <w:t>第二条</w:t>
      </w:r>
      <w:r>
        <w:rPr>
          <w:rFonts w:eastAsia="宋体" w:hint="eastAsia"/>
          <w:sz w:val="32"/>
          <w:szCs w:val="28"/>
        </w:rPr>
        <w:t xml:space="preserve"> </w:t>
      </w:r>
      <w:r w:rsidRPr="008243EA">
        <w:rPr>
          <w:rFonts w:ascii="仿宋_GB2312" w:hAnsi="仿宋" w:hint="eastAsia"/>
          <w:spacing w:val="0"/>
          <w:sz w:val="32"/>
          <w:szCs w:val="32"/>
        </w:rPr>
        <w:t>本</w:t>
      </w:r>
      <w:r w:rsidR="00A07F08" w:rsidRPr="008243EA">
        <w:rPr>
          <w:rFonts w:ascii="仿宋_GB2312" w:hAnsi="仿宋" w:hint="eastAsia"/>
          <w:spacing w:val="0"/>
          <w:sz w:val="32"/>
          <w:szCs w:val="32"/>
        </w:rPr>
        <w:t>专家</w:t>
      </w:r>
      <w:r w:rsidRPr="008243EA">
        <w:rPr>
          <w:rFonts w:ascii="仿宋_GB2312" w:hAnsi="仿宋" w:hint="eastAsia"/>
          <w:spacing w:val="0"/>
          <w:sz w:val="32"/>
          <w:szCs w:val="32"/>
        </w:rPr>
        <w:t>指引</w:t>
      </w:r>
      <w:bookmarkStart w:id="1" w:name="_Hlk56168644"/>
      <w:r w:rsidR="0097172B" w:rsidRPr="008243EA">
        <w:rPr>
          <w:rFonts w:ascii="仿宋_GB2312" w:hAnsi="仿宋" w:hint="eastAsia"/>
          <w:spacing w:val="0"/>
          <w:sz w:val="32"/>
          <w:szCs w:val="32"/>
        </w:rPr>
        <w:t>仅</w:t>
      </w:r>
      <w:r w:rsidRPr="008243EA">
        <w:rPr>
          <w:rFonts w:ascii="仿宋_GB2312" w:hAnsi="仿宋" w:hint="eastAsia"/>
          <w:spacing w:val="0"/>
          <w:sz w:val="32"/>
          <w:szCs w:val="32"/>
        </w:rPr>
        <w:t>针对</w:t>
      </w:r>
      <w:r w:rsidR="00C42BD4" w:rsidRPr="008243EA">
        <w:rPr>
          <w:rFonts w:ascii="仿宋_GB2312" w:hAnsi="仿宋" w:hint="eastAsia"/>
          <w:spacing w:val="0"/>
          <w:sz w:val="32"/>
          <w:szCs w:val="32"/>
        </w:rPr>
        <w:t>收益法中</w:t>
      </w:r>
      <w:r w:rsidRPr="008243EA">
        <w:rPr>
          <w:rFonts w:ascii="仿宋_GB2312" w:hAnsi="仿宋" w:hint="eastAsia"/>
          <w:spacing w:val="0"/>
          <w:sz w:val="32"/>
          <w:szCs w:val="32"/>
        </w:rPr>
        <w:t>运用</w:t>
      </w:r>
      <w:r w:rsidR="00095826" w:rsidRPr="008243EA">
        <w:rPr>
          <w:rFonts w:ascii="仿宋_GB2312" w:hAnsi="仿宋" w:hint="eastAsia"/>
          <w:spacing w:val="0"/>
          <w:sz w:val="32"/>
          <w:szCs w:val="32"/>
        </w:rPr>
        <w:t>资本资产定价模型（</w:t>
      </w:r>
      <w:r w:rsidR="00095826" w:rsidRPr="008243EA">
        <w:rPr>
          <w:rFonts w:ascii="Times New Roman" w:hAnsi="Times New Roman"/>
          <w:spacing w:val="0"/>
          <w:sz w:val="32"/>
          <w:szCs w:val="32"/>
        </w:rPr>
        <w:t>CAPM</w:t>
      </w:r>
      <w:r w:rsidR="00095826" w:rsidRPr="008243EA">
        <w:rPr>
          <w:rFonts w:ascii="仿宋_GB2312" w:hAnsi="仿宋" w:hint="eastAsia"/>
          <w:spacing w:val="0"/>
          <w:sz w:val="32"/>
          <w:szCs w:val="32"/>
        </w:rPr>
        <w:t>）</w:t>
      </w:r>
      <w:r w:rsidR="00344F0D" w:rsidRPr="008243EA">
        <w:rPr>
          <w:rFonts w:ascii="仿宋_GB2312" w:hAnsi="仿宋" w:hint="eastAsia"/>
          <w:spacing w:val="0"/>
          <w:sz w:val="32"/>
          <w:szCs w:val="32"/>
        </w:rPr>
        <w:t>、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加权</w:t>
      </w:r>
      <w:r w:rsidR="00344F0D" w:rsidRPr="008243EA">
        <w:rPr>
          <w:rFonts w:ascii="仿宋_GB2312" w:hAnsi="仿宋" w:hint="eastAsia"/>
          <w:spacing w:val="0"/>
          <w:sz w:val="32"/>
          <w:szCs w:val="32"/>
        </w:rPr>
        <w:t>平均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资本成本（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WACC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）</w:t>
      </w:r>
      <w:r w:rsidRPr="008243EA">
        <w:rPr>
          <w:rFonts w:ascii="仿宋_GB2312" w:hAnsi="仿宋" w:hint="eastAsia"/>
          <w:spacing w:val="0"/>
          <w:sz w:val="32"/>
          <w:szCs w:val="32"/>
        </w:rPr>
        <w:t>计算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折现率</w:t>
      </w:r>
      <w:r w:rsidR="00F02490" w:rsidRPr="008243EA">
        <w:rPr>
          <w:rFonts w:ascii="仿宋_GB2312" w:hAnsi="仿宋" w:hint="eastAsia"/>
          <w:spacing w:val="0"/>
          <w:sz w:val="32"/>
          <w:szCs w:val="32"/>
        </w:rPr>
        <w:t>所涉及的</w:t>
      </w:r>
      <w:bookmarkEnd w:id="1"/>
      <w:r w:rsidR="00F02490" w:rsidRPr="008243EA">
        <w:rPr>
          <w:rFonts w:ascii="仿宋_GB2312" w:hAnsi="仿宋" w:hint="eastAsia"/>
          <w:spacing w:val="0"/>
          <w:sz w:val="32"/>
          <w:szCs w:val="32"/>
        </w:rPr>
        <w:t>无风险收益率</w:t>
      </w:r>
      <w:r w:rsidR="00342E68" w:rsidRPr="008243EA">
        <w:rPr>
          <w:rFonts w:ascii="仿宋_GB2312" w:hAnsi="仿宋" w:hint="eastAsia"/>
          <w:spacing w:val="0"/>
          <w:sz w:val="32"/>
          <w:szCs w:val="32"/>
        </w:rPr>
        <w:t>、</w:t>
      </w:r>
      <w:r w:rsidR="00F02490" w:rsidRPr="008243EA">
        <w:rPr>
          <w:rFonts w:ascii="仿宋_GB2312" w:hAnsi="仿宋" w:hint="eastAsia"/>
          <w:spacing w:val="0"/>
          <w:sz w:val="32"/>
          <w:szCs w:val="32"/>
        </w:rPr>
        <w:t>市场风险溢价</w:t>
      </w:r>
      <w:r w:rsidR="00342E68" w:rsidRPr="008243EA">
        <w:rPr>
          <w:rFonts w:ascii="仿宋_GB2312" w:hAnsi="仿宋" w:hint="eastAsia"/>
          <w:spacing w:val="0"/>
          <w:sz w:val="32"/>
          <w:szCs w:val="32"/>
        </w:rPr>
        <w:t>、贝塔</w:t>
      </w:r>
      <w:r w:rsidR="00B007A3" w:rsidRPr="008243EA">
        <w:rPr>
          <w:rFonts w:ascii="仿宋_GB2312" w:hAnsi="仿宋" w:hint="eastAsia"/>
          <w:spacing w:val="0"/>
          <w:sz w:val="32"/>
          <w:szCs w:val="32"/>
        </w:rPr>
        <w:t>系数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、债权期望报酬率</w:t>
      </w:r>
      <w:r w:rsidR="00342E68" w:rsidRPr="008243EA">
        <w:rPr>
          <w:rFonts w:ascii="仿宋_GB2312" w:hAnsi="仿宋" w:hint="eastAsia"/>
          <w:spacing w:val="0"/>
          <w:sz w:val="32"/>
          <w:szCs w:val="32"/>
        </w:rPr>
        <w:t>等参数</w:t>
      </w:r>
      <w:r w:rsidR="00082EE8" w:rsidRPr="008243EA">
        <w:rPr>
          <w:rFonts w:ascii="仿宋_GB2312" w:hAnsi="仿宋" w:hint="eastAsia"/>
          <w:spacing w:val="0"/>
          <w:sz w:val="32"/>
          <w:szCs w:val="32"/>
        </w:rPr>
        <w:t>的确定</w:t>
      </w:r>
      <w:r w:rsidR="00F02490" w:rsidRPr="008243EA">
        <w:rPr>
          <w:rFonts w:ascii="仿宋_GB2312" w:hAnsi="仿宋"/>
          <w:spacing w:val="0"/>
          <w:sz w:val="32"/>
          <w:szCs w:val="32"/>
        </w:rPr>
        <w:t>。</w:t>
      </w:r>
    </w:p>
    <w:p w14:paraId="1E442DBE" w14:textId="4A06E9D5" w:rsidR="00AF2895" w:rsidRPr="008243EA" w:rsidRDefault="007D35C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仿宋_GB2312" w:hAnsi="仿宋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CAPM</w:t>
      </w:r>
      <w:r w:rsidR="006A6908" w:rsidRPr="008243EA">
        <w:rPr>
          <w:rFonts w:ascii="Times New Roman" w:hAnsi="Times New Roman"/>
          <w:spacing w:val="0"/>
          <w:sz w:val="32"/>
          <w:szCs w:val="32"/>
        </w:rPr>
        <w:t>、</w:t>
      </w:r>
      <w:r w:rsidR="006A6908" w:rsidRPr="008243EA">
        <w:rPr>
          <w:rFonts w:ascii="Times New Roman" w:hAnsi="Times New Roman"/>
          <w:spacing w:val="0"/>
          <w:sz w:val="32"/>
          <w:szCs w:val="32"/>
        </w:rPr>
        <w:t>WACC</w:t>
      </w:r>
      <w:r w:rsidR="00892984" w:rsidRPr="008243EA">
        <w:rPr>
          <w:rFonts w:ascii="仿宋_GB2312" w:hAnsi="仿宋" w:hint="eastAsia"/>
          <w:spacing w:val="0"/>
          <w:sz w:val="32"/>
          <w:szCs w:val="32"/>
        </w:rPr>
        <w:t>的公式</w:t>
      </w:r>
      <w:r w:rsidR="00BF32F8" w:rsidRPr="008243EA">
        <w:rPr>
          <w:rFonts w:ascii="仿宋_GB2312" w:hAnsi="仿宋" w:hint="eastAsia"/>
          <w:spacing w:val="0"/>
          <w:sz w:val="32"/>
          <w:szCs w:val="32"/>
        </w:rPr>
        <w:t>分别</w:t>
      </w:r>
      <w:r w:rsidRPr="008243EA">
        <w:rPr>
          <w:rFonts w:ascii="仿宋_GB2312" w:hAnsi="仿宋" w:hint="eastAsia"/>
          <w:spacing w:val="0"/>
          <w:sz w:val="32"/>
          <w:szCs w:val="32"/>
        </w:rPr>
        <w:t>表示如下：</w:t>
      </w:r>
    </w:p>
    <w:p w14:paraId="40F8BF7B" w14:textId="5736608F" w:rsidR="00AC7ECC" w:rsidRPr="008243EA" w:rsidRDefault="00E939CA" w:rsidP="00DB4392">
      <w:pPr>
        <w:ind w:firstLineChars="200" w:firstLine="636"/>
        <w:jc w:val="center"/>
        <w:rPr>
          <w:rFonts w:ascii="Times New Roman" w:eastAsia="宋体" w:hAnsi="Times New Roman"/>
          <w:spacing w:val="-1"/>
          <w:sz w:val="32"/>
          <w:szCs w:val="32"/>
        </w:rPr>
      </w:pPr>
      <m:oMathPara>
        <m:oMath>
          <m:r>
            <w:rPr>
              <w:rFonts w:ascii="Cambria Math" w:hAnsi="Cambria Math"/>
              <w:spacing w:val="-1"/>
              <w:sz w:val="32"/>
              <w:szCs w:val="32"/>
            </w:rPr>
            <m:t>E(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-1"/>
              <w:sz w:val="32"/>
              <w:szCs w:val="32"/>
            </w:rPr>
            <m:t>）</m:t>
          </m:r>
          <m:r>
            <w:rPr>
              <w:rFonts w:ascii="Cambria Math" w:hAnsi="Cambria Math"/>
              <w:spacing w:val="-1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f</m:t>
              </m:r>
            </m:sub>
          </m:sSub>
          <m:r>
            <w:rPr>
              <w:rFonts w:ascii="Cambria Math" w:hAnsi="Cambria Math"/>
              <w:spacing w:val="-1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i</m:t>
              </m:r>
            </m:sub>
          </m:sSub>
          <m:r>
            <w:rPr>
              <w:rFonts w:ascii="Cambria Math" w:hAnsi="Cambria Math"/>
              <w:spacing w:val="-1"/>
              <w:sz w:val="32"/>
              <w:szCs w:val="32"/>
            </w:rPr>
            <m:t>×ERP+ε</m:t>
          </m:r>
        </m:oMath>
      </m:oMathPara>
    </w:p>
    <w:p w14:paraId="12D79B34" w14:textId="3497B8BD" w:rsidR="00BF32F8" w:rsidRPr="008243EA" w:rsidRDefault="00BF32F8" w:rsidP="00BF32F8">
      <w:pPr>
        <w:ind w:firstLineChars="200" w:firstLine="636"/>
        <w:rPr>
          <w:rFonts w:ascii="Times New Roman" w:eastAsia="宋体" w:hAnsi="Times New Roman"/>
          <w:sz w:val="32"/>
          <w:szCs w:val="28"/>
        </w:rPr>
      </w:pPr>
      <m:oMathPara>
        <m:oMath>
          <m:r>
            <w:rPr>
              <w:rFonts w:ascii="Cambria Math" w:hAnsi="Cambria Math"/>
              <w:spacing w:val="-1"/>
              <w:sz w:val="32"/>
              <w:szCs w:val="32"/>
            </w:rPr>
            <m:t>WACC=E</m:t>
          </m:r>
          <m:d>
            <m:d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pacing w:val="-1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-1"/>
                      <w:sz w:val="32"/>
                      <w:szCs w:val="3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pacing w:val="-1"/>
                      <w:sz w:val="32"/>
                      <w:szCs w:val="32"/>
                    </w:rPr>
                    <m:t>d</m:t>
                  </m:r>
                </m:sub>
              </m:sSub>
            </m:e>
          </m:d>
          <m:r>
            <w:rPr>
              <w:rFonts w:ascii="Cambria Math" w:hAnsi="Cambria Math"/>
              <w:spacing w:val="-1"/>
              <w:sz w:val="32"/>
              <w:szCs w:val="32"/>
            </w:rPr>
            <m:t>×</m:t>
          </m:r>
          <w:bookmarkStart w:id="2" w:name="_Hlk51681515"/>
          <m:f>
            <m:f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D</m:t>
              </m:r>
            </m:num>
            <m:den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D+E</m:t>
              </m:r>
            </m:den>
          </m:f>
          <w:bookmarkEnd w:id="2"/>
          <m:r>
            <w:rPr>
              <w:rFonts w:ascii="Cambria Math" w:hAnsi="Cambria Math"/>
              <w:spacing w:val="-1"/>
              <w:sz w:val="32"/>
              <w:szCs w:val="32"/>
            </w:rPr>
            <m:t>×</m:t>
          </m:r>
          <m:r>
            <m:rPr>
              <m:sty m:val="p"/>
            </m:rPr>
            <w:rPr>
              <w:rFonts w:ascii="Cambria Math" w:hAnsi="Cambria Math"/>
              <w:spacing w:val="-1"/>
              <w:sz w:val="32"/>
              <w:szCs w:val="32"/>
            </w:rPr>
            <m:t>（</m:t>
          </m:r>
          <m:r>
            <w:rPr>
              <w:rFonts w:ascii="Cambria Math" w:hAnsi="Cambria Math"/>
              <w:spacing w:val="-1"/>
              <w:sz w:val="32"/>
              <w:szCs w:val="32"/>
            </w:rPr>
            <m:t>1</m:t>
          </m:r>
          <m:r>
            <w:rPr>
              <w:rFonts w:ascii="Cambria Math" w:eastAsia="微软雅黑" w:hAnsi="Cambria Math"/>
              <w:spacing w:val="-1"/>
              <w:sz w:val="32"/>
              <w:szCs w:val="32"/>
            </w:rPr>
            <m:t>-</m:t>
          </m:r>
          <m:r>
            <w:rPr>
              <w:rFonts w:ascii="Cambria Math" w:hAnsi="Cambria Math"/>
              <w:spacing w:val="-1"/>
              <w:sz w:val="32"/>
              <w:szCs w:val="32"/>
            </w:rPr>
            <m:t>T</m:t>
          </m:r>
          <m:r>
            <m:rPr>
              <m:sty m:val="p"/>
            </m:rPr>
            <w:rPr>
              <w:rFonts w:ascii="Cambria Math" w:hAnsi="Cambria Math"/>
              <w:spacing w:val="-1"/>
              <w:sz w:val="32"/>
              <w:szCs w:val="32"/>
            </w:rPr>
            <m:t>）</m:t>
          </m:r>
          <m:r>
            <w:rPr>
              <w:rFonts w:ascii="Cambria Math" w:hAnsi="Cambria Math"/>
              <w:spacing w:val="-1"/>
              <w:sz w:val="32"/>
              <w:szCs w:val="32"/>
            </w:rPr>
            <m:t>+E(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R</m:t>
              </m:r>
            </m:e>
            <m:sub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-1"/>
              <w:sz w:val="32"/>
              <w:szCs w:val="32"/>
            </w:rPr>
            <m:t>）</m:t>
          </m:r>
          <m:r>
            <w:rPr>
              <w:rFonts w:ascii="Cambria Math" w:hAnsi="Cambria Math"/>
              <w:spacing w:val="-1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i/>
                  <w:spacing w:val="-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E</m:t>
              </m:r>
            </m:num>
            <m:den>
              <m:r>
                <w:rPr>
                  <w:rFonts w:ascii="Cambria Math" w:hAnsi="Cambria Math"/>
                  <w:spacing w:val="-1"/>
                  <w:sz w:val="32"/>
                  <w:szCs w:val="32"/>
                </w:rPr>
                <m:t>D+E</m:t>
              </m:r>
            </m:den>
          </m:f>
        </m:oMath>
      </m:oMathPara>
    </w:p>
    <w:p w14:paraId="20412B43" w14:textId="5DFD5E71" w:rsidR="00E8795A" w:rsidRPr="008243EA" w:rsidRDefault="00C42BD4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式中：</w:t>
      </w:r>
      <m:oMath>
        <m:r>
          <w:rPr>
            <w:rFonts w:ascii="Cambria Math" w:hAnsi="Cambria Math"/>
            <w:spacing w:val="0"/>
            <w:sz w:val="32"/>
            <w:szCs w:val="32"/>
          </w:rPr>
          <m:t>E</m:t>
        </m:r>
        <m:r>
          <m:rPr>
            <m:sty m:val="p"/>
          </m:rPr>
          <w:rPr>
            <w:rFonts w:ascii="Cambria Math" w:hAnsi="Cambria Math"/>
            <w:spacing w:val="0"/>
            <w:sz w:val="32"/>
            <w:szCs w:val="32"/>
          </w:rPr>
          <m:t>(</m:t>
        </m:r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pacing w:val="0"/>
            <w:sz w:val="32"/>
            <w:szCs w:val="32"/>
          </w:rPr>
          <m:t>）</m:t>
        </m:r>
      </m:oMath>
      <w:r w:rsidR="00C430D9" w:rsidRPr="008243EA">
        <w:rPr>
          <w:rFonts w:ascii="Times New Roman" w:hAnsi="Times New Roman"/>
          <w:spacing w:val="0"/>
          <w:sz w:val="32"/>
          <w:szCs w:val="32"/>
        </w:rPr>
        <w:t>表示股权</w:t>
      </w:r>
      <w:r w:rsidR="00E939CA" w:rsidRPr="008243EA">
        <w:rPr>
          <w:rFonts w:ascii="Times New Roman" w:hAnsi="Times New Roman"/>
          <w:spacing w:val="0"/>
          <w:sz w:val="32"/>
          <w:szCs w:val="32"/>
        </w:rPr>
        <w:t>期望报酬率</w:t>
      </w:r>
      <w:r w:rsidR="00C430D9" w:rsidRPr="008243EA">
        <w:rPr>
          <w:rFonts w:ascii="Times New Roman" w:hAnsi="Times New Roman"/>
          <w:spacing w:val="0"/>
          <w:sz w:val="32"/>
          <w:szCs w:val="32"/>
        </w:rPr>
        <w:t>，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f</m:t>
            </m:r>
          </m:sub>
        </m:sSub>
      </m:oMath>
      <w:r w:rsidR="00C60F62"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Pr="008243EA">
        <w:rPr>
          <w:rFonts w:ascii="Times New Roman" w:hAnsi="Times New Roman"/>
          <w:spacing w:val="0"/>
          <w:sz w:val="32"/>
          <w:szCs w:val="32"/>
        </w:rPr>
        <w:t>无风险</w:t>
      </w:r>
      <w:r w:rsidR="00C430D9" w:rsidRPr="008243EA">
        <w:rPr>
          <w:rFonts w:ascii="Times New Roman" w:hAnsi="Times New Roman"/>
          <w:spacing w:val="0"/>
          <w:sz w:val="32"/>
          <w:szCs w:val="32"/>
        </w:rPr>
        <w:t>利率</w:t>
      </w:r>
      <w:r w:rsidR="00302329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DB4392" w:rsidRPr="008243EA">
        <w:rPr>
          <w:rFonts w:ascii="Times New Roman" w:hAnsi="Times New Roman"/>
          <w:spacing w:val="0"/>
          <w:sz w:val="32"/>
          <w:szCs w:val="32"/>
        </w:rPr>
        <w:lastRenderedPageBreak/>
        <w:t>ERP</w:t>
      </w:r>
      <w:r w:rsidR="00DB4392" w:rsidRPr="008243EA">
        <w:rPr>
          <w:rFonts w:ascii="Times New Roman" w:hAnsi="Times New Roman"/>
          <w:spacing w:val="0"/>
          <w:sz w:val="32"/>
          <w:szCs w:val="32"/>
        </w:rPr>
        <w:t>表示市场风险溢价</w:t>
      </w:r>
      <w:r w:rsidR="00302329" w:rsidRPr="008243EA">
        <w:rPr>
          <w:rFonts w:ascii="Times New Roman" w:hAnsi="Times New Roman"/>
          <w:spacing w:val="0"/>
          <w:sz w:val="32"/>
          <w:szCs w:val="32"/>
        </w:rPr>
        <w:t>，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i</m:t>
            </m:r>
          </m:sub>
        </m:sSub>
      </m:oMath>
      <w:r w:rsidR="00C60F62"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="009B0659" w:rsidRPr="008243EA">
        <w:rPr>
          <w:rFonts w:ascii="Times New Roman" w:hAnsi="Times New Roman"/>
          <w:spacing w:val="0"/>
          <w:sz w:val="32"/>
          <w:szCs w:val="32"/>
        </w:rPr>
        <w:t>股权</w:t>
      </w:r>
      <w:r w:rsidR="00883F62" w:rsidRPr="008243EA">
        <w:rPr>
          <w:rFonts w:ascii="Times New Roman" w:hAnsi="Times New Roman"/>
          <w:spacing w:val="0"/>
          <w:sz w:val="32"/>
          <w:szCs w:val="32"/>
        </w:rPr>
        <w:t>系统性</w:t>
      </w:r>
      <w:r w:rsidRPr="008243EA">
        <w:rPr>
          <w:rFonts w:ascii="Times New Roman" w:hAnsi="Times New Roman"/>
          <w:spacing w:val="0"/>
          <w:sz w:val="32"/>
          <w:szCs w:val="32"/>
        </w:rPr>
        <w:t>风险</w:t>
      </w:r>
      <w:r w:rsidR="00B45E2C" w:rsidRPr="008243EA">
        <w:rPr>
          <w:rFonts w:ascii="Times New Roman" w:hAnsi="Times New Roman"/>
          <w:spacing w:val="0"/>
          <w:sz w:val="32"/>
          <w:szCs w:val="32"/>
        </w:rPr>
        <w:t>调整</w:t>
      </w:r>
      <w:r w:rsidRPr="008243EA">
        <w:rPr>
          <w:rFonts w:ascii="Times New Roman" w:hAnsi="Times New Roman"/>
          <w:spacing w:val="0"/>
          <w:sz w:val="32"/>
          <w:szCs w:val="32"/>
        </w:rPr>
        <w:t>系数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ε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表示特定风险</w:t>
      </w:r>
      <w:r w:rsidR="000972F4" w:rsidRPr="008243EA">
        <w:rPr>
          <w:rFonts w:ascii="Times New Roman" w:hAnsi="Times New Roman"/>
          <w:spacing w:val="0"/>
          <w:sz w:val="32"/>
          <w:szCs w:val="32"/>
        </w:rPr>
        <w:t>报酬率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，</w:t>
      </w:r>
      <m:oMath>
        <m:r>
          <w:rPr>
            <w:rFonts w:ascii="Cambria Math" w:hAnsi="Cambria Math"/>
            <w:spacing w:val="0"/>
            <w:sz w:val="32"/>
            <w:szCs w:val="32"/>
          </w:rPr>
          <m:t>E</m:t>
        </m:r>
        <m:r>
          <m:rPr>
            <m:sty m:val="p"/>
          </m:rPr>
          <w:rPr>
            <w:rFonts w:ascii="Cambria Math" w:hAnsi="Cambria Math"/>
            <w:spacing w:val="0"/>
            <w:sz w:val="32"/>
            <w:szCs w:val="32"/>
          </w:rPr>
          <m:t>(</m:t>
        </m:r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R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d</m:t>
            </m:r>
          </m:sub>
        </m:sSub>
        <m:r>
          <m:rPr>
            <m:sty m:val="p"/>
          </m:rPr>
          <w:rPr>
            <w:rFonts w:ascii="Cambria Math" w:hAnsi="Cambria Math"/>
            <w:spacing w:val="0"/>
            <w:sz w:val="32"/>
            <w:szCs w:val="32"/>
          </w:rPr>
          <m:t>）</m:t>
        </m:r>
      </m:oMath>
      <w:r w:rsidR="00BF32F8" w:rsidRPr="008243EA">
        <w:rPr>
          <w:rFonts w:ascii="Times New Roman" w:hAnsi="Times New Roman"/>
          <w:spacing w:val="0"/>
          <w:sz w:val="32"/>
          <w:szCs w:val="32"/>
        </w:rPr>
        <w:t>表示债权期望报酬率，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D/(D+E)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表示债权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比例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E/(D+E)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股权比例</w:t>
      </w:r>
      <w:r w:rsidR="000972F4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0972F4" w:rsidRPr="008243EA">
        <w:rPr>
          <w:rFonts w:ascii="Times New Roman" w:hAnsi="Times New Roman"/>
          <w:spacing w:val="0"/>
          <w:sz w:val="32"/>
          <w:szCs w:val="32"/>
        </w:rPr>
        <w:t>T</w:t>
      </w:r>
      <w:r w:rsidR="000972F4" w:rsidRPr="008243EA">
        <w:rPr>
          <w:rFonts w:ascii="Times New Roman" w:hAnsi="Times New Roman"/>
          <w:spacing w:val="0"/>
          <w:sz w:val="32"/>
          <w:szCs w:val="32"/>
        </w:rPr>
        <w:t>表示所得税税率</w:t>
      </w:r>
      <w:r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488827A1" w14:textId="513DCCCA" w:rsidR="00A164FC" w:rsidRPr="008243EA" w:rsidRDefault="00E72F77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</w:t>
      </w:r>
      <w:r w:rsidR="0097172B" w:rsidRPr="008243EA">
        <w:rPr>
          <w:rFonts w:ascii="Times New Roman" w:hAnsi="Times New Roman" w:hint="eastAsia"/>
          <w:b/>
          <w:spacing w:val="0"/>
          <w:sz w:val="32"/>
          <w:szCs w:val="32"/>
        </w:rPr>
        <w:t>三</w:t>
      </w: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bookmarkStart w:id="3" w:name="_Hlk56168785"/>
      <w:r w:rsidRPr="008243EA">
        <w:rPr>
          <w:rFonts w:ascii="Times New Roman" w:hAnsi="Times New Roman" w:hint="eastAsia"/>
          <w:spacing w:val="0"/>
          <w:sz w:val="32"/>
          <w:szCs w:val="32"/>
        </w:rPr>
        <w:t>采用风险累加法</w:t>
      </w:r>
      <w:bookmarkEnd w:id="3"/>
      <w:r w:rsidRPr="008243EA">
        <w:rPr>
          <w:rFonts w:ascii="Times New Roman" w:hAnsi="Times New Roman" w:hint="eastAsia"/>
          <w:spacing w:val="0"/>
          <w:sz w:val="32"/>
          <w:szCs w:val="32"/>
        </w:rPr>
        <w:t>等其他方法计算折现率</w:t>
      </w:r>
      <w:r w:rsidR="00344F0D" w:rsidRPr="008243EA">
        <w:rPr>
          <w:rFonts w:ascii="Times New Roman" w:hAnsi="Times New Roman" w:hint="eastAsia"/>
          <w:spacing w:val="0"/>
          <w:sz w:val="32"/>
          <w:szCs w:val="32"/>
        </w:rPr>
        <w:t>，</w:t>
      </w:r>
      <w:r w:rsidR="00BF32F8" w:rsidRPr="008243EA">
        <w:rPr>
          <w:rFonts w:ascii="Times New Roman" w:hAnsi="Times New Roman" w:hint="eastAsia"/>
          <w:spacing w:val="0"/>
          <w:sz w:val="32"/>
          <w:szCs w:val="32"/>
        </w:rPr>
        <w:t>涉及</w:t>
      </w:r>
      <w:r w:rsidR="00344F0D" w:rsidRPr="008243EA">
        <w:rPr>
          <w:rFonts w:ascii="Times New Roman" w:hAnsi="Times New Roman" w:hint="eastAsia"/>
          <w:spacing w:val="0"/>
          <w:sz w:val="32"/>
          <w:szCs w:val="32"/>
        </w:rPr>
        <w:t>与本指引</w:t>
      </w:r>
      <w:r w:rsidR="00BF32F8" w:rsidRPr="008243EA">
        <w:rPr>
          <w:rFonts w:ascii="Times New Roman" w:hAnsi="Times New Roman" w:hint="eastAsia"/>
          <w:spacing w:val="0"/>
          <w:sz w:val="32"/>
          <w:szCs w:val="32"/>
        </w:rPr>
        <w:t>相</w:t>
      </w:r>
      <w:r w:rsidR="00344F0D" w:rsidRPr="008243EA">
        <w:rPr>
          <w:rFonts w:ascii="Times New Roman" w:hAnsi="Times New Roman" w:hint="eastAsia"/>
          <w:spacing w:val="0"/>
          <w:sz w:val="32"/>
          <w:szCs w:val="32"/>
        </w:rPr>
        <w:t>同</w:t>
      </w:r>
      <w:r w:rsidR="00BF32F8" w:rsidRPr="008243EA">
        <w:rPr>
          <w:rFonts w:ascii="Times New Roman" w:hAnsi="Times New Roman" w:hint="eastAsia"/>
          <w:spacing w:val="0"/>
          <w:sz w:val="32"/>
          <w:szCs w:val="32"/>
        </w:rPr>
        <w:t>参数的测算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时可以</w:t>
      </w:r>
      <w:r w:rsidR="009B0308" w:rsidRPr="008243EA">
        <w:rPr>
          <w:rFonts w:ascii="Times New Roman" w:hAnsi="Times New Roman" w:hint="eastAsia"/>
          <w:spacing w:val="0"/>
          <w:sz w:val="32"/>
          <w:szCs w:val="32"/>
        </w:rPr>
        <w:t>参考本</w:t>
      </w:r>
      <w:r w:rsidR="00A07F08" w:rsidRPr="008243EA">
        <w:rPr>
          <w:rFonts w:ascii="Times New Roman" w:hAnsi="Times New Roman" w:hint="eastAsia"/>
          <w:spacing w:val="0"/>
          <w:sz w:val="32"/>
          <w:szCs w:val="32"/>
        </w:rPr>
        <w:t>专家</w:t>
      </w:r>
      <w:r w:rsidR="009B0308" w:rsidRPr="008243EA">
        <w:rPr>
          <w:rFonts w:ascii="Times New Roman" w:hAnsi="Times New Roman" w:hint="eastAsia"/>
          <w:spacing w:val="0"/>
          <w:sz w:val="32"/>
          <w:szCs w:val="32"/>
        </w:rPr>
        <w:t>指引。</w:t>
      </w:r>
    </w:p>
    <w:p w14:paraId="5B5439C0" w14:textId="2E0BEB0F" w:rsidR="00095826" w:rsidRPr="008243EA" w:rsidRDefault="00095826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第二章</w:t>
      </w:r>
      <w:r w:rsidRPr="008243EA">
        <w:rPr>
          <w:rFonts w:ascii="黑体" w:eastAsia="黑体" w:hAnsi="黑体"/>
          <w:spacing w:val="0"/>
          <w:sz w:val="32"/>
          <w:szCs w:val="32"/>
        </w:rPr>
        <w:t xml:space="preserve"> 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>基本</w:t>
      </w:r>
      <w:r w:rsidR="004B0A1A" w:rsidRPr="008243EA">
        <w:rPr>
          <w:rFonts w:ascii="黑体" w:eastAsia="黑体" w:hAnsi="黑体" w:hint="eastAsia"/>
          <w:spacing w:val="0"/>
          <w:sz w:val="32"/>
          <w:szCs w:val="32"/>
        </w:rPr>
        <w:t>遵循</w:t>
      </w:r>
    </w:p>
    <w:p w14:paraId="474A911F" w14:textId="1AB4B662" w:rsidR="00095826" w:rsidRPr="008243EA" w:rsidRDefault="00095826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</w:t>
      </w:r>
      <w:r w:rsidR="0097172B" w:rsidRPr="008243EA">
        <w:rPr>
          <w:rFonts w:ascii="Times New Roman" w:hAnsi="Times New Roman" w:hint="eastAsia"/>
          <w:b/>
          <w:spacing w:val="0"/>
          <w:sz w:val="32"/>
          <w:szCs w:val="32"/>
        </w:rPr>
        <w:t>四</w:t>
      </w: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资产评估机构</w:t>
      </w:r>
      <w:bookmarkStart w:id="4" w:name="_Hlk56168892"/>
      <w:r w:rsidR="0097172B" w:rsidRPr="008243EA">
        <w:rPr>
          <w:rFonts w:ascii="Times New Roman" w:hAnsi="Times New Roman" w:hint="eastAsia"/>
          <w:spacing w:val="0"/>
          <w:sz w:val="32"/>
          <w:szCs w:val="32"/>
        </w:rPr>
        <w:t>应当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研究确定内部统一的折现率测算原则与方法，</w:t>
      </w:r>
      <w:r w:rsidR="0097172B" w:rsidRPr="008243EA">
        <w:rPr>
          <w:rFonts w:ascii="Times New Roman" w:hAnsi="Times New Roman" w:hint="eastAsia"/>
          <w:spacing w:val="0"/>
          <w:sz w:val="32"/>
          <w:szCs w:val="32"/>
        </w:rPr>
        <w:t>并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在执业过程中保持折现率测算的一致性</w:t>
      </w:r>
      <w:bookmarkEnd w:id="4"/>
      <w:r w:rsidRPr="008243EA">
        <w:rPr>
          <w:rFonts w:ascii="Times New Roman" w:hAnsi="Times New Roman" w:hint="eastAsia"/>
          <w:spacing w:val="0"/>
          <w:sz w:val="32"/>
          <w:szCs w:val="32"/>
        </w:rPr>
        <w:t>。</w:t>
      </w:r>
    </w:p>
    <w:p w14:paraId="3A15079C" w14:textId="69075AA1" w:rsidR="00160C29" w:rsidRPr="008243EA" w:rsidRDefault="0097172B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第五条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执行</w:t>
      </w:r>
      <w:r w:rsidR="00DA0B96" w:rsidRPr="008243EA">
        <w:rPr>
          <w:rFonts w:ascii="Times New Roman" w:hAnsi="Times New Roman" w:hint="eastAsia"/>
          <w:spacing w:val="0"/>
          <w:sz w:val="32"/>
          <w:szCs w:val="32"/>
        </w:rPr>
        <w:t>资产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减值</w:t>
      </w:r>
      <w:r w:rsidR="007B163E" w:rsidRPr="008243EA">
        <w:rPr>
          <w:rFonts w:ascii="Times New Roman" w:hAnsi="Times New Roman" w:hint="eastAsia"/>
          <w:spacing w:val="0"/>
          <w:sz w:val="32"/>
          <w:szCs w:val="32"/>
        </w:rPr>
        <w:t>测试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等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延续性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评估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项目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，</w:t>
      </w:r>
      <w:r w:rsidR="00AE603D" w:rsidRPr="008243EA">
        <w:rPr>
          <w:rFonts w:ascii="Times New Roman" w:hAnsi="Times New Roman" w:hint="eastAsia"/>
          <w:spacing w:val="0"/>
          <w:sz w:val="32"/>
          <w:szCs w:val="32"/>
        </w:rPr>
        <w:t>需要</w:t>
      </w:r>
      <w:r w:rsidR="00DA0B96" w:rsidRPr="008243EA">
        <w:rPr>
          <w:rFonts w:ascii="Times New Roman" w:hAnsi="Times New Roman" w:hint="eastAsia"/>
          <w:spacing w:val="0"/>
          <w:sz w:val="32"/>
          <w:szCs w:val="32"/>
        </w:rPr>
        <w:t>关注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不同评估基准日折现率测算的</w:t>
      </w:r>
      <w:r w:rsidR="00DA0B96" w:rsidRPr="008243EA">
        <w:rPr>
          <w:rFonts w:ascii="Times New Roman" w:hAnsi="Times New Roman" w:hint="eastAsia"/>
          <w:spacing w:val="0"/>
          <w:sz w:val="32"/>
          <w:szCs w:val="32"/>
        </w:rPr>
        <w:t>合理</w:t>
      </w:r>
      <w:r w:rsidR="00706F78" w:rsidRPr="008243EA">
        <w:rPr>
          <w:rFonts w:ascii="Times New Roman" w:hAnsi="Times New Roman" w:hint="eastAsia"/>
          <w:spacing w:val="0"/>
          <w:sz w:val="32"/>
          <w:szCs w:val="32"/>
        </w:rPr>
        <w:t>性。</w:t>
      </w:r>
    </w:p>
    <w:p w14:paraId="373F680B" w14:textId="1ED1F5A2" w:rsidR="00100910" w:rsidRPr="008243EA" w:rsidRDefault="00A164FC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第六条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资产评估专业人员</w:t>
      </w:r>
      <w:r w:rsidR="00AE603D" w:rsidRPr="008243EA">
        <w:rPr>
          <w:rFonts w:ascii="Times New Roman" w:hAnsi="Times New Roman" w:hint="eastAsia"/>
          <w:spacing w:val="0"/>
          <w:sz w:val="32"/>
          <w:szCs w:val="32"/>
        </w:rPr>
        <w:t>需要</w:t>
      </w:r>
      <w:r w:rsidR="008D250E" w:rsidRPr="008243EA">
        <w:rPr>
          <w:rFonts w:ascii="Times New Roman" w:hAnsi="Times New Roman" w:hint="eastAsia"/>
          <w:spacing w:val="0"/>
          <w:sz w:val="32"/>
          <w:szCs w:val="32"/>
        </w:rPr>
        <w:t>关注</w:t>
      </w:r>
      <w:r w:rsidR="00EF2A43" w:rsidRPr="008243EA">
        <w:rPr>
          <w:rFonts w:ascii="Times New Roman" w:hAnsi="Times New Roman" w:hint="eastAsia"/>
          <w:spacing w:val="0"/>
          <w:sz w:val="32"/>
          <w:szCs w:val="32"/>
        </w:rPr>
        <w:t>折现率口径与预期收益口径的一致性，以及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折现率</w:t>
      </w:r>
      <w:r w:rsidR="008D250E" w:rsidRPr="008243EA">
        <w:rPr>
          <w:rFonts w:ascii="Times New Roman" w:hAnsi="Times New Roman" w:hint="eastAsia"/>
          <w:spacing w:val="0"/>
          <w:sz w:val="32"/>
          <w:szCs w:val="32"/>
        </w:rPr>
        <w:t>计算公式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中各参数的一致性</w:t>
      </w:r>
      <w:r w:rsidR="00100910" w:rsidRPr="008243EA">
        <w:rPr>
          <w:rFonts w:ascii="Times New Roman" w:hAnsi="Times New Roman" w:hint="eastAsia"/>
          <w:spacing w:val="0"/>
          <w:sz w:val="32"/>
          <w:szCs w:val="32"/>
        </w:rPr>
        <w:t>。</w:t>
      </w:r>
    </w:p>
    <w:p w14:paraId="633BC8BC" w14:textId="6B9D3766" w:rsidR="00F02490" w:rsidRPr="008243EA" w:rsidRDefault="00D141A0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</w:t>
      </w:r>
      <w:r w:rsidR="00100910" w:rsidRPr="008243EA">
        <w:rPr>
          <w:rFonts w:ascii="黑体" w:eastAsia="黑体" w:hAnsi="黑体" w:hint="eastAsia"/>
          <w:spacing w:val="0"/>
          <w:sz w:val="32"/>
          <w:szCs w:val="32"/>
        </w:rPr>
        <w:t>三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>章 无风险</w:t>
      </w:r>
      <w:r w:rsidR="00C430D9" w:rsidRPr="008243EA">
        <w:rPr>
          <w:rFonts w:ascii="黑体" w:eastAsia="黑体" w:hAnsi="黑体" w:hint="eastAsia"/>
          <w:spacing w:val="0"/>
          <w:sz w:val="32"/>
          <w:szCs w:val="32"/>
        </w:rPr>
        <w:t>利率</w:t>
      </w:r>
    </w:p>
    <w:p w14:paraId="6FF66EA6" w14:textId="3BCC1CF0" w:rsidR="00D141A0" w:rsidRPr="008243EA" w:rsidRDefault="00D141A0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</w:t>
      </w:r>
      <w:r w:rsidR="00100910" w:rsidRPr="008243EA">
        <w:rPr>
          <w:rFonts w:ascii="Times New Roman" w:hAnsi="Times New Roman" w:hint="eastAsia"/>
          <w:b/>
          <w:spacing w:val="0"/>
          <w:sz w:val="32"/>
          <w:szCs w:val="32"/>
        </w:rPr>
        <w:t>七</w:t>
      </w: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>无风险</w:t>
      </w:r>
      <w:r w:rsidR="00C430D9" w:rsidRPr="008243EA">
        <w:rPr>
          <w:rFonts w:ascii="Times New Roman" w:hAnsi="Times New Roman" w:hint="eastAsia"/>
          <w:spacing w:val="0"/>
          <w:sz w:val="32"/>
          <w:szCs w:val="32"/>
        </w:rPr>
        <w:t>利率</w:t>
      </w:r>
      <w:r w:rsidR="00E8795A" w:rsidRPr="008243EA">
        <w:rPr>
          <w:rFonts w:ascii="Times New Roman" w:hAnsi="Times New Roman" w:hint="eastAsia"/>
          <w:spacing w:val="0"/>
          <w:sz w:val="32"/>
          <w:szCs w:val="32"/>
        </w:rPr>
        <w:t>是指</w:t>
      </w:r>
      <w:r w:rsidR="00811F20" w:rsidRPr="008243EA">
        <w:rPr>
          <w:rFonts w:ascii="Times New Roman" w:hAnsi="Times New Roman" w:hint="eastAsia"/>
          <w:spacing w:val="0"/>
          <w:sz w:val="32"/>
          <w:szCs w:val="32"/>
        </w:rPr>
        <w:t>投资者投资于无</w:t>
      </w:r>
      <w:r w:rsidR="00AC7ECC" w:rsidRPr="008243EA">
        <w:rPr>
          <w:rFonts w:ascii="Times New Roman" w:hAnsi="Times New Roman" w:hint="eastAsia"/>
          <w:spacing w:val="0"/>
          <w:sz w:val="32"/>
          <w:szCs w:val="32"/>
        </w:rPr>
        <w:t>风险资产的</w:t>
      </w:r>
      <w:r w:rsidR="00811F20" w:rsidRPr="008243EA">
        <w:rPr>
          <w:rFonts w:ascii="Times New Roman" w:hAnsi="Times New Roman" w:hint="eastAsia"/>
          <w:spacing w:val="0"/>
          <w:sz w:val="32"/>
          <w:szCs w:val="32"/>
        </w:rPr>
        <w:t>预期</w:t>
      </w:r>
      <w:r w:rsidR="00100910" w:rsidRPr="008243EA">
        <w:rPr>
          <w:rFonts w:ascii="Times New Roman" w:hAnsi="Times New Roman" w:hint="eastAsia"/>
          <w:spacing w:val="0"/>
          <w:sz w:val="32"/>
          <w:szCs w:val="32"/>
        </w:rPr>
        <w:t>报酬率</w:t>
      </w:r>
      <w:r w:rsidR="00AC7ECC" w:rsidRPr="008243EA">
        <w:rPr>
          <w:rFonts w:ascii="Times New Roman" w:hAnsi="Times New Roman" w:hint="eastAsia"/>
          <w:spacing w:val="0"/>
          <w:sz w:val="32"/>
          <w:szCs w:val="32"/>
        </w:rPr>
        <w:t>，该无风险资产</w:t>
      </w:r>
      <w:r w:rsidR="00E8795A" w:rsidRPr="008243EA">
        <w:rPr>
          <w:rFonts w:ascii="Times New Roman" w:hAnsi="Times New Roman" w:hint="eastAsia"/>
          <w:spacing w:val="0"/>
          <w:sz w:val="32"/>
          <w:szCs w:val="32"/>
        </w:rPr>
        <w:t>不存在违约风险，期望</w:t>
      </w:r>
      <w:r w:rsidR="00AC7ECC" w:rsidRPr="008243EA">
        <w:rPr>
          <w:rFonts w:ascii="Times New Roman" w:hAnsi="Times New Roman" w:hint="eastAsia"/>
          <w:spacing w:val="0"/>
          <w:sz w:val="32"/>
          <w:szCs w:val="32"/>
        </w:rPr>
        <w:t>收益</w:t>
      </w:r>
      <w:r w:rsidR="00E8795A" w:rsidRPr="008243EA">
        <w:rPr>
          <w:rFonts w:ascii="Times New Roman" w:hAnsi="Times New Roman" w:hint="eastAsia"/>
          <w:spacing w:val="0"/>
          <w:sz w:val="32"/>
          <w:szCs w:val="32"/>
        </w:rPr>
        <w:t>率与</w:t>
      </w:r>
      <w:r w:rsidR="00AC7ECC" w:rsidRPr="008243EA">
        <w:rPr>
          <w:rFonts w:ascii="Times New Roman" w:hAnsi="Times New Roman" w:hint="eastAsia"/>
          <w:spacing w:val="0"/>
          <w:sz w:val="32"/>
          <w:szCs w:val="32"/>
        </w:rPr>
        <w:t>实际收益</w:t>
      </w:r>
      <w:r w:rsidR="00E8795A" w:rsidRPr="008243EA">
        <w:rPr>
          <w:rFonts w:ascii="Times New Roman" w:hAnsi="Times New Roman" w:hint="eastAsia"/>
          <w:spacing w:val="0"/>
          <w:sz w:val="32"/>
          <w:szCs w:val="32"/>
        </w:rPr>
        <w:t>率</w:t>
      </w:r>
      <w:r w:rsidR="00AC7ECC" w:rsidRPr="008243EA">
        <w:rPr>
          <w:rFonts w:ascii="Times New Roman" w:hAnsi="Times New Roman" w:hint="eastAsia"/>
          <w:spacing w:val="0"/>
          <w:sz w:val="32"/>
          <w:szCs w:val="32"/>
        </w:rPr>
        <w:t>始终</w:t>
      </w:r>
      <w:r w:rsidR="00E8795A" w:rsidRPr="008243EA">
        <w:rPr>
          <w:rFonts w:ascii="Times New Roman" w:hAnsi="Times New Roman" w:hint="eastAsia"/>
          <w:spacing w:val="0"/>
          <w:sz w:val="32"/>
          <w:szCs w:val="32"/>
        </w:rPr>
        <w:t>一致</w:t>
      </w:r>
      <w:r w:rsidR="00C42BD4" w:rsidRPr="008243EA">
        <w:rPr>
          <w:rFonts w:ascii="Times New Roman" w:hAnsi="Times New Roman" w:hint="eastAsia"/>
          <w:spacing w:val="0"/>
          <w:sz w:val="32"/>
          <w:szCs w:val="32"/>
        </w:rPr>
        <w:t>。</w:t>
      </w:r>
    </w:p>
    <w:p w14:paraId="5AA28E53" w14:textId="207EF1DD" w:rsidR="00742406" w:rsidRPr="008243EA" w:rsidRDefault="00C42BD4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</w:t>
      </w:r>
      <w:r w:rsidR="00100910" w:rsidRPr="008243EA">
        <w:rPr>
          <w:rFonts w:ascii="Times New Roman" w:hAnsi="Times New Roman" w:hint="eastAsia"/>
          <w:b/>
          <w:spacing w:val="0"/>
          <w:sz w:val="32"/>
          <w:szCs w:val="32"/>
        </w:rPr>
        <w:t>八</w:t>
      </w: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="00AC1039" w:rsidRPr="008243EA">
        <w:rPr>
          <w:rFonts w:ascii="Times New Roman" w:hAnsi="Times New Roman" w:hint="eastAsia"/>
          <w:spacing w:val="0"/>
          <w:sz w:val="32"/>
          <w:szCs w:val="32"/>
        </w:rPr>
        <w:t>无风险</w:t>
      </w:r>
      <w:r w:rsidR="00C430D9" w:rsidRPr="008243EA">
        <w:rPr>
          <w:rFonts w:ascii="Times New Roman" w:hAnsi="Times New Roman" w:hint="eastAsia"/>
          <w:spacing w:val="0"/>
          <w:sz w:val="32"/>
          <w:szCs w:val="32"/>
        </w:rPr>
        <w:t>利</w:t>
      </w:r>
      <w:r w:rsidR="00AC1039" w:rsidRPr="008243EA">
        <w:rPr>
          <w:rFonts w:ascii="Times New Roman" w:hAnsi="Times New Roman" w:hint="eastAsia"/>
          <w:spacing w:val="0"/>
          <w:sz w:val="32"/>
          <w:szCs w:val="32"/>
        </w:rPr>
        <w:t>率可以用国债的到期收益率</w:t>
      </w:r>
      <w:r w:rsidR="00CC1E30" w:rsidRPr="008243EA">
        <w:rPr>
          <w:rFonts w:ascii="Times New Roman" w:hAnsi="Times New Roman" w:hint="eastAsia"/>
          <w:spacing w:val="0"/>
          <w:sz w:val="32"/>
          <w:szCs w:val="32"/>
        </w:rPr>
        <w:t>表示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，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t>选择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国债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t>时应当考虑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其剩余到期年限与</w:t>
      </w:r>
      <w:r w:rsidR="00B71C73" w:rsidRPr="008243EA">
        <w:rPr>
          <w:rFonts w:ascii="Times New Roman" w:hAnsi="Times New Roman" w:hint="eastAsia"/>
          <w:spacing w:val="0"/>
          <w:sz w:val="32"/>
          <w:szCs w:val="32"/>
        </w:rPr>
        <w:t>企业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现金流时间期限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t>的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匹配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t>性</w:t>
      </w:r>
      <w:r w:rsidR="004B5CC5" w:rsidRPr="008243EA">
        <w:rPr>
          <w:rFonts w:ascii="Times New Roman" w:hAnsi="Times New Roman" w:hint="eastAsia"/>
          <w:spacing w:val="0"/>
          <w:sz w:val="32"/>
          <w:szCs w:val="32"/>
        </w:rPr>
        <w:t>。</w:t>
      </w:r>
    </w:p>
    <w:p w14:paraId="6670AE72" w14:textId="0956D17A" w:rsidR="00D141A0" w:rsidRPr="008243EA" w:rsidRDefault="00677B26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第</w:t>
      </w:r>
      <w:r w:rsidR="00100910" w:rsidRPr="008243EA">
        <w:rPr>
          <w:rFonts w:ascii="Times New Roman" w:hAnsi="Times New Roman" w:hint="eastAsia"/>
          <w:b/>
          <w:spacing w:val="0"/>
          <w:sz w:val="32"/>
          <w:szCs w:val="32"/>
        </w:rPr>
        <w:t>九</w:t>
      </w:r>
      <w:r w:rsidRPr="008243EA">
        <w:rPr>
          <w:rFonts w:ascii="Times New Roman" w:hAnsi="Times New Roman" w:hint="eastAsia"/>
          <w:b/>
          <w:spacing w:val="0"/>
          <w:sz w:val="32"/>
          <w:szCs w:val="32"/>
        </w:rPr>
        <w:t>条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 xml:space="preserve"> 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持续经营假设前提下的企业价值评估</w:t>
      </w:r>
      <w:r w:rsidR="003E74F8" w:rsidRPr="008243EA">
        <w:rPr>
          <w:rFonts w:ascii="Times New Roman" w:hAnsi="Times New Roman" w:hint="eastAsia"/>
          <w:spacing w:val="0"/>
          <w:sz w:val="32"/>
          <w:szCs w:val="32"/>
        </w:rPr>
        <w:t>可以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采</w:t>
      </w:r>
      <w:r w:rsidR="003E74F8" w:rsidRPr="008243EA">
        <w:rPr>
          <w:rFonts w:ascii="Times New Roman" w:hAnsi="Times New Roman" w:hint="eastAsia"/>
          <w:spacing w:val="0"/>
          <w:sz w:val="32"/>
          <w:szCs w:val="32"/>
        </w:rPr>
        <w:t>用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lastRenderedPageBreak/>
        <w:t>剩余期限为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十年期</w:t>
      </w:r>
      <w:r w:rsidR="007A7D5F" w:rsidRPr="008243EA">
        <w:rPr>
          <w:rFonts w:ascii="Times New Roman" w:hAnsi="Times New Roman" w:hint="eastAsia"/>
          <w:spacing w:val="0"/>
          <w:sz w:val="32"/>
          <w:szCs w:val="32"/>
        </w:rPr>
        <w:t>或十年期以上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国债</w:t>
      </w:r>
      <w:r w:rsidR="00742406" w:rsidRPr="008243EA">
        <w:rPr>
          <w:rFonts w:ascii="Times New Roman" w:hAnsi="Times New Roman" w:hint="eastAsia"/>
          <w:spacing w:val="0"/>
          <w:sz w:val="32"/>
          <w:szCs w:val="32"/>
        </w:rPr>
        <w:t>的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到期收益率</w:t>
      </w:r>
      <w:r w:rsidR="005C16BA" w:rsidRPr="008243EA">
        <w:rPr>
          <w:rFonts w:ascii="Times New Roman" w:hAnsi="Times New Roman" w:hint="eastAsia"/>
          <w:spacing w:val="0"/>
          <w:sz w:val="32"/>
          <w:szCs w:val="32"/>
        </w:rPr>
        <w:t>作为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无风险</w:t>
      </w:r>
      <w:r w:rsidR="00D05710" w:rsidRPr="008243EA">
        <w:rPr>
          <w:rFonts w:ascii="Times New Roman" w:hAnsi="Times New Roman" w:hint="eastAsia"/>
          <w:spacing w:val="0"/>
          <w:sz w:val="32"/>
          <w:szCs w:val="32"/>
        </w:rPr>
        <w:t>利</w:t>
      </w:r>
      <w:r w:rsidR="00492B86" w:rsidRPr="008243EA">
        <w:rPr>
          <w:rFonts w:ascii="Times New Roman" w:hAnsi="Times New Roman" w:hint="eastAsia"/>
          <w:spacing w:val="0"/>
          <w:sz w:val="32"/>
          <w:szCs w:val="32"/>
        </w:rPr>
        <w:t>率</w:t>
      </w:r>
      <w:r w:rsidR="00660C73" w:rsidRPr="008243EA">
        <w:rPr>
          <w:rFonts w:ascii="Times New Roman" w:hAnsi="Times New Roman" w:hint="eastAsia"/>
          <w:spacing w:val="0"/>
          <w:sz w:val="32"/>
          <w:szCs w:val="32"/>
        </w:rPr>
        <w:t>。</w:t>
      </w:r>
    </w:p>
    <w:p w14:paraId="5BFF6201" w14:textId="5694C0A9" w:rsidR="00D141A0" w:rsidRPr="008243EA" w:rsidRDefault="00D141A0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</w:t>
      </w:r>
      <w:r w:rsidR="00D6759E" w:rsidRPr="008243EA">
        <w:rPr>
          <w:rFonts w:ascii="黑体" w:eastAsia="黑体" w:hAnsi="黑体" w:hint="eastAsia"/>
          <w:spacing w:val="0"/>
          <w:sz w:val="32"/>
          <w:szCs w:val="32"/>
        </w:rPr>
        <w:t>四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>章 市场风险溢价</w:t>
      </w:r>
    </w:p>
    <w:p w14:paraId="7EDE0187" w14:textId="2833CEF4" w:rsidR="00D141A0" w:rsidRPr="008243EA" w:rsidRDefault="00CA258D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214298" w:rsidRPr="008243EA">
        <w:rPr>
          <w:rFonts w:ascii="Times New Roman" w:hAnsi="Times New Roman"/>
          <w:b/>
          <w:spacing w:val="0"/>
          <w:sz w:val="32"/>
          <w:szCs w:val="32"/>
        </w:rPr>
        <w:t>十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市场风险溢价</w:t>
      </w:r>
      <w:r w:rsidR="003A6211" w:rsidRPr="008243EA">
        <w:rPr>
          <w:rFonts w:ascii="Times New Roman" w:hAnsi="Times New Roman"/>
          <w:spacing w:val="0"/>
          <w:sz w:val="32"/>
          <w:szCs w:val="32"/>
        </w:rPr>
        <w:t>是指</w:t>
      </w:r>
      <w:r w:rsidR="009A0219" w:rsidRPr="008243EA">
        <w:rPr>
          <w:rFonts w:ascii="Times New Roman" w:hAnsi="Times New Roman"/>
          <w:spacing w:val="0"/>
          <w:sz w:val="32"/>
          <w:szCs w:val="32"/>
        </w:rPr>
        <w:t>投资者对</w:t>
      </w:r>
      <w:r w:rsidR="003A6211" w:rsidRPr="008243EA">
        <w:rPr>
          <w:rFonts w:ascii="Times New Roman" w:hAnsi="Times New Roman"/>
          <w:spacing w:val="0"/>
          <w:sz w:val="32"/>
          <w:szCs w:val="32"/>
        </w:rPr>
        <w:t>与整体市场平均风险相同的股权投资所要求的</w:t>
      </w:r>
      <w:r w:rsidR="009A0219" w:rsidRPr="008243EA">
        <w:rPr>
          <w:rFonts w:ascii="Times New Roman" w:hAnsi="Times New Roman"/>
          <w:spacing w:val="0"/>
          <w:sz w:val="32"/>
          <w:szCs w:val="32"/>
        </w:rPr>
        <w:t>预期超额收益，即超过无风险利率的风险补偿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，通常可以</w:t>
      </w:r>
      <w:r w:rsidR="00222E69" w:rsidRPr="008243EA">
        <w:rPr>
          <w:rFonts w:ascii="Times New Roman" w:hAnsi="Times New Roman"/>
          <w:spacing w:val="0"/>
          <w:sz w:val="32"/>
          <w:szCs w:val="32"/>
        </w:rPr>
        <w:t>利用</w:t>
      </w:r>
      <w:r w:rsidR="00B71C73" w:rsidRPr="008243EA">
        <w:rPr>
          <w:rFonts w:ascii="Times New Roman" w:hAnsi="Times New Roman"/>
          <w:spacing w:val="0"/>
          <w:sz w:val="32"/>
          <w:szCs w:val="32"/>
        </w:rPr>
        <w:t>市场的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历史风险溢价数据进行测算。</w:t>
      </w:r>
    </w:p>
    <w:p w14:paraId="51904505" w14:textId="52FA676D" w:rsidR="00AB2203" w:rsidRPr="008243EA" w:rsidRDefault="00DF4577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A8228D" w:rsidRPr="008243EA">
        <w:rPr>
          <w:rFonts w:ascii="Times New Roman" w:hAnsi="Times New Roman"/>
          <w:b/>
          <w:spacing w:val="0"/>
          <w:sz w:val="32"/>
          <w:szCs w:val="32"/>
        </w:rPr>
        <w:t>十一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中国市场风险溢价</w:t>
      </w:r>
      <w:r w:rsidR="000D4501" w:rsidRPr="008243EA">
        <w:rPr>
          <w:rFonts w:ascii="Times New Roman" w:hAnsi="Times New Roman"/>
          <w:spacing w:val="0"/>
          <w:sz w:val="32"/>
          <w:szCs w:val="32"/>
        </w:rPr>
        <w:t>一般</w:t>
      </w:r>
      <w:r w:rsidR="00AB2203" w:rsidRPr="008243EA">
        <w:rPr>
          <w:rFonts w:ascii="Times New Roman" w:hAnsi="Times New Roman"/>
          <w:spacing w:val="0"/>
          <w:sz w:val="32"/>
          <w:szCs w:val="32"/>
        </w:rPr>
        <w:t>可以通过以下</w:t>
      </w:r>
      <w:r w:rsidR="00182F08" w:rsidRPr="008243EA">
        <w:rPr>
          <w:rFonts w:ascii="Times New Roman" w:hAnsi="Times New Roman"/>
          <w:spacing w:val="0"/>
          <w:sz w:val="32"/>
          <w:szCs w:val="32"/>
        </w:rPr>
        <w:t>几种方法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确定</w:t>
      </w:r>
      <w:r w:rsidR="00AB2203" w:rsidRPr="008243EA">
        <w:rPr>
          <w:rFonts w:ascii="Times New Roman" w:hAnsi="Times New Roman"/>
          <w:spacing w:val="0"/>
          <w:sz w:val="32"/>
          <w:szCs w:val="32"/>
        </w:rPr>
        <w:t>：</w:t>
      </w:r>
    </w:p>
    <w:p w14:paraId="0D3D3FFE" w14:textId="6A5EF64F" w:rsidR="00AB2203" w:rsidRPr="008243EA" w:rsidRDefault="00AB220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（一）</w:t>
      </w:r>
      <w:r w:rsidR="00DF4577" w:rsidRPr="008243EA">
        <w:rPr>
          <w:rFonts w:ascii="Times New Roman" w:hAnsi="Times New Roman"/>
          <w:spacing w:val="0"/>
          <w:sz w:val="32"/>
          <w:szCs w:val="32"/>
        </w:rPr>
        <w:t>利用中国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的</w:t>
      </w:r>
      <w:r w:rsidR="00DF4577" w:rsidRPr="008243EA">
        <w:rPr>
          <w:rFonts w:ascii="Times New Roman" w:hAnsi="Times New Roman"/>
          <w:spacing w:val="0"/>
          <w:sz w:val="32"/>
          <w:szCs w:val="32"/>
        </w:rPr>
        <w:t>证券综合性指数</w:t>
      </w:r>
      <w:r w:rsidR="007249C6" w:rsidRPr="008243EA">
        <w:rPr>
          <w:rFonts w:ascii="Times New Roman" w:hAnsi="Times New Roman"/>
          <w:spacing w:val="0"/>
          <w:sz w:val="32"/>
          <w:szCs w:val="32"/>
        </w:rPr>
        <w:t>或者成</w:t>
      </w:r>
      <w:r w:rsidR="00D8708E" w:rsidRPr="008243EA">
        <w:rPr>
          <w:rFonts w:ascii="Times New Roman" w:hAnsi="Times New Roman"/>
          <w:spacing w:val="0"/>
          <w:sz w:val="32"/>
          <w:szCs w:val="32"/>
        </w:rPr>
        <w:t>份</w:t>
      </w:r>
      <w:r w:rsidR="007249C6" w:rsidRPr="008243EA">
        <w:rPr>
          <w:rFonts w:ascii="Times New Roman" w:hAnsi="Times New Roman"/>
          <w:spacing w:val="0"/>
          <w:sz w:val="32"/>
          <w:szCs w:val="32"/>
        </w:rPr>
        <w:t>股</w:t>
      </w:r>
      <w:r w:rsidR="00CA4AD7" w:rsidRPr="008243EA">
        <w:rPr>
          <w:rFonts w:ascii="Times New Roman" w:hAnsi="Times New Roman"/>
          <w:spacing w:val="0"/>
          <w:sz w:val="32"/>
          <w:szCs w:val="32"/>
        </w:rPr>
        <w:t>指数</w:t>
      </w:r>
      <w:r w:rsidR="007249C6" w:rsidRPr="008243EA">
        <w:rPr>
          <w:rFonts w:ascii="Times New Roman" w:hAnsi="Times New Roman"/>
          <w:spacing w:val="0"/>
          <w:sz w:val="32"/>
          <w:szCs w:val="32"/>
        </w:rPr>
        <w:t>的</w:t>
      </w:r>
      <w:r w:rsidR="00EB7987" w:rsidRPr="008243EA">
        <w:rPr>
          <w:rFonts w:ascii="Times New Roman" w:hAnsi="Times New Roman"/>
          <w:spacing w:val="0"/>
          <w:sz w:val="32"/>
          <w:szCs w:val="32"/>
        </w:rPr>
        <w:t>历史</w:t>
      </w:r>
      <w:r w:rsidR="007249C6" w:rsidRPr="008243EA">
        <w:rPr>
          <w:rFonts w:ascii="Times New Roman" w:hAnsi="Times New Roman"/>
          <w:spacing w:val="0"/>
          <w:sz w:val="32"/>
          <w:szCs w:val="32"/>
        </w:rPr>
        <w:t>数据</w:t>
      </w:r>
      <w:r w:rsidR="00DF4577" w:rsidRPr="008243EA">
        <w:rPr>
          <w:rFonts w:ascii="Times New Roman" w:hAnsi="Times New Roman"/>
          <w:spacing w:val="0"/>
          <w:sz w:val="32"/>
          <w:szCs w:val="32"/>
        </w:rPr>
        <w:t>计算</w:t>
      </w:r>
      <w:r w:rsidRPr="008243EA">
        <w:rPr>
          <w:rFonts w:ascii="Times New Roman" w:hAnsi="Times New Roman"/>
          <w:spacing w:val="0"/>
          <w:sz w:val="32"/>
          <w:szCs w:val="32"/>
        </w:rPr>
        <w:t>；</w:t>
      </w:r>
    </w:p>
    <w:p w14:paraId="6171376E" w14:textId="6B5E96EA" w:rsidR="00AB2203" w:rsidRPr="008243EA" w:rsidRDefault="00AB220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（二）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采用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="00DF4577" w:rsidRPr="008243EA">
        <w:rPr>
          <w:rFonts w:ascii="Times New Roman" w:hAnsi="Times New Roman"/>
          <w:spacing w:val="0"/>
          <w:sz w:val="32"/>
          <w:szCs w:val="32"/>
        </w:rPr>
        <w:t>市场风险溢价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调整方法</w:t>
      </w:r>
      <w:r w:rsidRPr="008243EA">
        <w:rPr>
          <w:rFonts w:ascii="Times New Roman" w:hAnsi="Times New Roman"/>
          <w:spacing w:val="0"/>
          <w:sz w:val="32"/>
          <w:szCs w:val="32"/>
        </w:rPr>
        <w:t>；</w:t>
      </w:r>
    </w:p>
    <w:p w14:paraId="0C7F5F75" w14:textId="14A40C56" w:rsidR="00DF4577" w:rsidRPr="008243EA" w:rsidRDefault="00AB220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（三）</w:t>
      </w:r>
      <w:r w:rsidR="005974C2" w:rsidRPr="008243EA">
        <w:rPr>
          <w:rFonts w:ascii="Times New Roman" w:hAnsi="Times New Roman"/>
          <w:spacing w:val="0"/>
          <w:sz w:val="32"/>
          <w:szCs w:val="32"/>
        </w:rPr>
        <w:t>引用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相关专家</w:t>
      </w:r>
      <w:r w:rsidR="005D792C" w:rsidRPr="008243EA">
        <w:rPr>
          <w:rFonts w:ascii="Times New Roman" w:hAnsi="Times New Roman"/>
          <w:spacing w:val="0"/>
          <w:sz w:val="32"/>
          <w:szCs w:val="32"/>
        </w:rPr>
        <w:t>学者</w:t>
      </w:r>
      <w:r w:rsidR="00244B3E" w:rsidRPr="008243EA">
        <w:rPr>
          <w:rFonts w:ascii="Times New Roman" w:hAnsi="Times New Roman"/>
          <w:spacing w:val="0"/>
          <w:sz w:val="32"/>
          <w:szCs w:val="32"/>
        </w:rPr>
        <w:t>或者</w:t>
      </w:r>
      <w:r w:rsidR="00182F08" w:rsidRPr="008243EA">
        <w:rPr>
          <w:rFonts w:ascii="Times New Roman" w:hAnsi="Times New Roman"/>
          <w:spacing w:val="0"/>
          <w:sz w:val="32"/>
          <w:szCs w:val="32"/>
        </w:rPr>
        <w:t>专业</w:t>
      </w:r>
      <w:r w:rsidR="00244B3E" w:rsidRPr="008243EA">
        <w:rPr>
          <w:rFonts w:ascii="Times New Roman" w:hAnsi="Times New Roman"/>
          <w:spacing w:val="0"/>
          <w:sz w:val="32"/>
          <w:szCs w:val="32"/>
        </w:rPr>
        <w:t>机构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研究</w:t>
      </w:r>
      <w:r w:rsidR="005D792C" w:rsidRPr="008243EA">
        <w:rPr>
          <w:rFonts w:ascii="Times New Roman" w:hAnsi="Times New Roman"/>
          <w:spacing w:val="0"/>
          <w:sz w:val="32"/>
          <w:szCs w:val="32"/>
        </w:rPr>
        <w:t>发布的数据</w:t>
      </w:r>
      <w:r w:rsidR="00DF4577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026D3099" w14:textId="167638A0" w:rsidR="007561C2" w:rsidRPr="008243EA" w:rsidRDefault="00DF4577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7E0369" w:rsidRPr="008243EA">
        <w:rPr>
          <w:rFonts w:ascii="Times New Roman" w:hAnsi="Times New Roman"/>
          <w:b/>
          <w:spacing w:val="0"/>
          <w:sz w:val="32"/>
          <w:szCs w:val="32"/>
        </w:rPr>
        <w:t>十</w:t>
      </w:r>
      <w:r w:rsidR="00A8228D" w:rsidRPr="008243EA">
        <w:rPr>
          <w:rFonts w:ascii="Times New Roman" w:hAnsi="Times New Roman"/>
          <w:b/>
          <w:spacing w:val="0"/>
          <w:sz w:val="32"/>
          <w:szCs w:val="32"/>
        </w:rPr>
        <w:t>二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采用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中国的证券综合性指数计算市场风险溢价时，通常选择有代表性的指数，</w:t>
      </w:r>
      <w:r w:rsidR="004A52CD" w:rsidRPr="008243EA">
        <w:rPr>
          <w:rFonts w:ascii="Times New Roman" w:hAnsi="Times New Roman"/>
          <w:spacing w:val="0"/>
          <w:sz w:val="32"/>
          <w:szCs w:val="32"/>
        </w:rPr>
        <w:t>如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上海证券综合指数</w:t>
      </w:r>
      <w:r w:rsidR="004A52CD" w:rsidRPr="008243EA">
        <w:rPr>
          <w:rFonts w:ascii="Times New Roman" w:hAnsi="Times New Roman"/>
          <w:spacing w:val="0"/>
          <w:sz w:val="32"/>
          <w:szCs w:val="32"/>
        </w:rPr>
        <w:t>、沪深</w:t>
      </w:r>
      <w:r w:rsidR="004A52CD" w:rsidRPr="008243EA">
        <w:rPr>
          <w:rFonts w:ascii="Times New Roman" w:hAnsi="Times New Roman"/>
          <w:spacing w:val="0"/>
          <w:sz w:val="32"/>
          <w:szCs w:val="32"/>
        </w:rPr>
        <w:t>300</w:t>
      </w:r>
      <w:r w:rsidR="004A52CD" w:rsidRPr="008243EA">
        <w:rPr>
          <w:rFonts w:ascii="Times New Roman" w:hAnsi="Times New Roman"/>
          <w:spacing w:val="0"/>
          <w:sz w:val="32"/>
          <w:szCs w:val="32"/>
        </w:rPr>
        <w:t>指数等</w:t>
      </w:r>
      <w:r w:rsidR="007D35CF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计算</w:t>
      </w:r>
      <w:r w:rsidR="006B43BE" w:rsidRPr="008243EA">
        <w:rPr>
          <w:rFonts w:ascii="Times New Roman" w:hAnsi="Times New Roman"/>
          <w:spacing w:val="0"/>
          <w:sz w:val="32"/>
          <w:szCs w:val="32"/>
        </w:rPr>
        <w:t>指数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一段历史时间</w:t>
      </w:r>
      <w:r w:rsidR="00AD66EA" w:rsidRPr="008243EA">
        <w:rPr>
          <w:rFonts w:ascii="Times New Roman" w:hAnsi="Times New Roman"/>
          <w:spacing w:val="0"/>
          <w:sz w:val="32"/>
          <w:szCs w:val="32"/>
        </w:rPr>
        <w:t>内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的</w:t>
      </w:r>
      <w:r w:rsidR="00CB231D" w:rsidRPr="008243EA">
        <w:rPr>
          <w:rFonts w:ascii="Times New Roman" w:hAnsi="Times New Roman"/>
          <w:spacing w:val="0"/>
          <w:sz w:val="32"/>
          <w:szCs w:val="32"/>
        </w:rPr>
        <w:t>超额</w:t>
      </w:r>
      <w:r w:rsidR="00AD66EA" w:rsidRPr="008243EA">
        <w:rPr>
          <w:rFonts w:ascii="Times New Roman" w:hAnsi="Times New Roman"/>
          <w:spacing w:val="0"/>
          <w:sz w:val="32"/>
          <w:szCs w:val="32"/>
        </w:rPr>
        <w:t>收益率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，时间</w:t>
      </w:r>
      <w:r w:rsidR="00AD66EA" w:rsidRPr="008243EA">
        <w:rPr>
          <w:rFonts w:ascii="Times New Roman" w:hAnsi="Times New Roman"/>
          <w:spacing w:val="0"/>
          <w:sz w:val="32"/>
          <w:szCs w:val="32"/>
        </w:rPr>
        <w:t>跨度</w:t>
      </w:r>
      <w:r w:rsidR="00967754" w:rsidRPr="008243EA">
        <w:rPr>
          <w:rFonts w:ascii="Times New Roman" w:hAnsi="Times New Roman"/>
          <w:spacing w:val="0"/>
          <w:sz w:val="32"/>
          <w:szCs w:val="32"/>
        </w:rPr>
        <w:t>可以</w:t>
      </w:r>
      <w:r w:rsidR="00707B52" w:rsidRPr="008243EA">
        <w:rPr>
          <w:rFonts w:ascii="Times New Roman" w:hAnsi="Times New Roman"/>
          <w:spacing w:val="0"/>
          <w:sz w:val="32"/>
          <w:szCs w:val="32"/>
        </w:rPr>
        <w:t>选择</w:t>
      </w:r>
      <w:r w:rsidR="00AD66EA" w:rsidRPr="008243EA">
        <w:rPr>
          <w:rFonts w:ascii="Times New Roman" w:hAnsi="Times New Roman"/>
          <w:spacing w:val="0"/>
          <w:sz w:val="32"/>
          <w:szCs w:val="32"/>
        </w:rPr>
        <w:t>10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年以上</w:t>
      </w:r>
      <w:r w:rsidR="0068352A" w:rsidRPr="008243EA">
        <w:rPr>
          <w:rFonts w:ascii="Times New Roman" w:hAnsi="Times New Roman"/>
          <w:spacing w:val="0"/>
          <w:sz w:val="32"/>
          <w:szCs w:val="32"/>
        </w:rPr>
        <w:t>、数据频率可以选择周数据或者月数据、计算方法可以采取</w:t>
      </w:r>
      <w:r w:rsidR="005974C2" w:rsidRPr="008243EA">
        <w:rPr>
          <w:rFonts w:ascii="Times New Roman" w:hAnsi="Times New Roman"/>
          <w:spacing w:val="0"/>
          <w:sz w:val="32"/>
          <w:szCs w:val="32"/>
        </w:rPr>
        <w:t>算术平均或者</w:t>
      </w:r>
      <w:r w:rsidR="0068352A" w:rsidRPr="008243EA">
        <w:rPr>
          <w:rFonts w:ascii="Times New Roman" w:hAnsi="Times New Roman"/>
          <w:spacing w:val="0"/>
          <w:sz w:val="32"/>
          <w:szCs w:val="32"/>
        </w:rPr>
        <w:t>几何平均</w:t>
      </w:r>
      <w:r w:rsidR="00772941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4AEFBAC0" w14:textId="6E7CF507" w:rsidR="007D35CF" w:rsidRPr="008243EA" w:rsidRDefault="007D35C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三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采用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Pr="008243EA">
        <w:rPr>
          <w:rFonts w:ascii="Times New Roman" w:hAnsi="Times New Roman"/>
          <w:spacing w:val="0"/>
          <w:sz w:val="32"/>
          <w:szCs w:val="32"/>
        </w:rPr>
        <w:t>市场风险溢价调整方法是在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Pr="008243EA">
        <w:rPr>
          <w:rFonts w:ascii="Times New Roman" w:hAnsi="Times New Roman"/>
          <w:spacing w:val="0"/>
          <w:sz w:val="32"/>
          <w:szCs w:val="32"/>
        </w:rPr>
        <w:t>市场风险溢价的基础上</w:t>
      </w:r>
      <w:r w:rsidR="005D792C" w:rsidRPr="008243EA">
        <w:rPr>
          <w:rFonts w:ascii="Times New Roman" w:hAnsi="Times New Roman"/>
          <w:spacing w:val="0"/>
          <w:sz w:val="32"/>
          <w:szCs w:val="32"/>
        </w:rPr>
        <w:t>，</w:t>
      </w:r>
      <w:r w:rsidRPr="008243EA">
        <w:rPr>
          <w:rFonts w:ascii="Times New Roman" w:hAnsi="Times New Roman"/>
          <w:spacing w:val="0"/>
          <w:sz w:val="32"/>
          <w:szCs w:val="32"/>
        </w:rPr>
        <w:t>考虑中国国家风险补偿得到中国市场风险溢价，计算公式可以表示为：</w:t>
      </w:r>
    </w:p>
    <w:p w14:paraId="530D5F1F" w14:textId="4AD0FFF5" w:rsidR="007D35CF" w:rsidRPr="008243EA" w:rsidRDefault="00532B5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ERP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中国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ERP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发达国家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+</m:t>
          </m:r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国家风险补偿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中国</m:t>
              </m:r>
            </m:sub>
          </m:sSub>
        </m:oMath>
      </m:oMathPara>
    </w:p>
    <w:p w14:paraId="43C9B4DC" w14:textId="3D4FA517" w:rsidR="007D35CF" w:rsidRPr="008243EA" w:rsidRDefault="00A54D0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四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Pr="008243EA">
        <w:rPr>
          <w:rFonts w:ascii="Times New Roman" w:hAnsi="Times New Roman"/>
          <w:spacing w:val="0"/>
          <w:sz w:val="32"/>
          <w:szCs w:val="32"/>
        </w:rPr>
        <w:t>市场风险溢价</w:t>
      </w:r>
      <w:r w:rsidR="00AB4EA4" w:rsidRPr="008243EA">
        <w:rPr>
          <w:rFonts w:ascii="Times New Roman" w:hAnsi="Times New Roman"/>
          <w:spacing w:val="0"/>
          <w:sz w:val="32"/>
          <w:szCs w:val="32"/>
        </w:rPr>
        <w:t>可以通过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="00AB4EA4" w:rsidRPr="008243EA">
        <w:rPr>
          <w:rFonts w:ascii="Times New Roman" w:hAnsi="Times New Roman"/>
          <w:spacing w:val="0"/>
          <w:sz w:val="32"/>
          <w:szCs w:val="32"/>
        </w:rPr>
        <w:t>的证券综合性指数</w:t>
      </w:r>
      <w:r w:rsidR="00CA4AD7" w:rsidRPr="008243EA">
        <w:rPr>
          <w:rFonts w:ascii="Times New Roman" w:hAnsi="Times New Roman"/>
          <w:spacing w:val="0"/>
          <w:sz w:val="32"/>
          <w:szCs w:val="32"/>
        </w:rPr>
        <w:t>或者成份股指数</w:t>
      </w:r>
      <w:r w:rsidR="00AB4EA4" w:rsidRPr="008243EA">
        <w:rPr>
          <w:rFonts w:ascii="Times New Roman" w:hAnsi="Times New Roman"/>
          <w:spacing w:val="0"/>
          <w:sz w:val="32"/>
          <w:szCs w:val="32"/>
        </w:rPr>
        <w:t>的历史数据计算得到，也可以直接采用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相关专家学者或者</w:t>
      </w:r>
      <w:r w:rsidR="00CB779C" w:rsidRPr="008243EA">
        <w:rPr>
          <w:rFonts w:ascii="Times New Roman" w:hAnsi="Times New Roman"/>
          <w:spacing w:val="0"/>
          <w:sz w:val="32"/>
          <w:szCs w:val="32"/>
        </w:rPr>
        <w:t>专业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机构研究</w:t>
      </w:r>
      <w:r w:rsidR="001517DF" w:rsidRPr="008243EA">
        <w:rPr>
          <w:rFonts w:ascii="Times New Roman" w:hAnsi="Times New Roman"/>
          <w:spacing w:val="0"/>
          <w:sz w:val="32"/>
          <w:szCs w:val="32"/>
        </w:rPr>
        <w:t>发布</w:t>
      </w:r>
      <w:r w:rsidR="00AB4EA4" w:rsidRPr="008243EA">
        <w:rPr>
          <w:rFonts w:ascii="Times New Roman" w:hAnsi="Times New Roman"/>
          <w:spacing w:val="0"/>
          <w:sz w:val="32"/>
          <w:szCs w:val="32"/>
        </w:rPr>
        <w:t>的数据。</w:t>
      </w:r>
    </w:p>
    <w:p w14:paraId="035C833A" w14:textId="2BA1F5B0" w:rsidR="001517DF" w:rsidRPr="008243EA" w:rsidRDefault="001517D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五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2738BC" w:rsidRPr="008243EA">
        <w:rPr>
          <w:rFonts w:ascii="Times New Roman" w:hAnsi="Times New Roman"/>
          <w:spacing w:val="0"/>
          <w:sz w:val="32"/>
          <w:szCs w:val="32"/>
        </w:rPr>
        <w:t>中国国家风险补偿表示中国股票市场相对于</w:t>
      </w:r>
      <w:r w:rsidR="00434E8C" w:rsidRPr="008243EA">
        <w:rPr>
          <w:rFonts w:ascii="Times New Roman" w:hAnsi="Times New Roman"/>
          <w:spacing w:val="0"/>
          <w:sz w:val="32"/>
          <w:szCs w:val="32"/>
        </w:rPr>
        <w:t>发达国家</w:t>
      </w:r>
      <w:r w:rsidR="002738BC" w:rsidRPr="008243EA">
        <w:rPr>
          <w:rFonts w:ascii="Times New Roman" w:hAnsi="Times New Roman"/>
          <w:spacing w:val="0"/>
          <w:sz w:val="32"/>
          <w:szCs w:val="32"/>
        </w:rPr>
        <w:t>股票市场的国家风险溢价，</w:t>
      </w:r>
      <w:r w:rsidR="00405C48" w:rsidRPr="008243EA">
        <w:rPr>
          <w:rFonts w:ascii="Times New Roman" w:hAnsi="Times New Roman"/>
          <w:spacing w:val="0"/>
          <w:sz w:val="32"/>
          <w:szCs w:val="32"/>
        </w:rPr>
        <w:t>其取值可以直接采用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相关专家学者或者</w:t>
      </w:r>
      <w:r w:rsidR="00136FE3" w:rsidRPr="008243EA">
        <w:rPr>
          <w:rFonts w:ascii="Times New Roman" w:hAnsi="Times New Roman"/>
          <w:spacing w:val="0"/>
          <w:sz w:val="32"/>
          <w:szCs w:val="32"/>
        </w:rPr>
        <w:t>专业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机构研究</w:t>
      </w:r>
      <w:r w:rsidR="00405C48" w:rsidRPr="008243EA">
        <w:rPr>
          <w:rFonts w:ascii="Times New Roman" w:hAnsi="Times New Roman"/>
          <w:spacing w:val="0"/>
          <w:sz w:val="32"/>
          <w:szCs w:val="32"/>
        </w:rPr>
        <w:t>发布的</w:t>
      </w:r>
      <w:r w:rsidR="00C45BF3" w:rsidRPr="008243EA">
        <w:rPr>
          <w:rFonts w:ascii="Times New Roman" w:hAnsi="Times New Roman"/>
          <w:spacing w:val="0"/>
          <w:sz w:val="32"/>
          <w:szCs w:val="32"/>
        </w:rPr>
        <w:t>中国国家风险补偿数</w:t>
      </w:r>
      <w:r w:rsidR="00405C48" w:rsidRPr="008243EA">
        <w:rPr>
          <w:rFonts w:ascii="Times New Roman" w:hAnsi="Times New Roman"/>
          <w:spacing w:val="0"/>
          <w:sz w:val="32"/>
          <w:szCs w:val="32"/>
        </w:rPr>
        <w:t>据，也可以</w:t>
      </w:r>
      <w:r w:rsidR="00E50C5C" w:rsidRPr="008243EA">
        <w:rPr>
          <w:rFonts w:ascii="Times New Roman" w:hAnsi="Times New Roman"/>
          <w:spacing w:val="0"/>
          <w:sz w:val="32"/>
          <w:szCs w:val="32"/>
        </w:rPr>
        <w:t>利用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其</w:t>
      </w:r>
      <w:r w:rsidR="00405C48" w:rsidRPr="008243EA">
        <w:rPr>
          <w:rFonts w:ascii="Times New Roman" w:hAnsi="Times New Roman"/>
          <w:spacing w:val="0"/>
          <w:sz w:val="32"/>
          <w:szCs w:val="32"/>
        </w:rPr>
        <w:t>发布的</w:t>
      </w:r>
      <w:r w:rsidR="00347270" w:rsidRPr="008243EA">
        <w:rPr>
          <w:rFonts w:ascii="Times New Roman" w:hAnsi="Times New Roman"/>
          <w:spacing w:val="0"/>
          <w:sz w:val="32"/>
          <w:szCs w:val="32"/>
        </w:rPr>
        <w:t>国家违约利差</w:t>
      </w:r>
      <w:r w:rsidR="00405C48" w:rsidRPr="008243EA">
        <w:rPr>
          <w:rFonts w:ascii="Times New Roman" w:hAnsi="Times New Roman"/>
          <w:spacing w:val="0"/>
          <w:sz w:val="32"/>
          <w:szCs w:val="32"/>
        </w:rPr>
        <w:t>数据调整得到，计算公式如下：</w:t>
      </w:r>
    </w:p>
    <w:p w14:paraId="3883D509" w14:textId="7B714EA1" w:rsidR="00405C48" w:rsidRPr="008243EA" w:rsidRDefault="00532B5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国家风险补偿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中国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国家违约利差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中国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股票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国债</m:t>
                  </m:r>
                </m:sub>
              </m:sSub>
            </m:den>
          </m:f>
        </m:oMath>
      </m:oMathPara>
    </w:p>
    <w:p w14:paraId="6430676C" w14:textId="688FAF0F" w:rsidR="00E67FEC" w:rsidRPr="008243EA" w:rsidRDefault="00F74467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式中：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0"/>
                <w:sz w:val="32"/>
                <w:szCs w:val="32"/>
              </w:rPr>
              <m:t>股票</m:t>
            </m:r>
          </m:sub>
        </m:sSub>
      </m:oMath>
      <w:r w:rsidRPr="008243EA">
        <w:rPr>
          <w:rFonts w:ascii="Times New Roman" w:hAnsi="Times New Roman"/>
          <w:spacing w:val="0"/>
          <w:sz w:val="32"/>
          <w:szCs w:val="32"/>
        </w:rPr>
        <w:t>表示中国股票市场的标准差，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σ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0"/>
                <w:sz w:val="32"/>
                <w:szCs w:val="32"/>
              </w:rPr>
              <m:t>国债</m:t>
            </m:r>
          </m:sub>
        </m:sSub>
      </m:oMath>
      <w:r w:rsidRPr="008243EA">
        <w:rPr>
          <w:rFonts w:ascii="Times New Roman" w:hAnsi="Times New Roman"/>
          <w:spacing w:val="0"/>
          <w:sz w:val="32"/>
          <w:szCs w:val="32"/>
        </w:rPr>
        <w:t>表示中国国债市场的标准差。</w:t>
      </w:r>
    </w:p>
    <w:p w14:paraId="1DE27E82" w14:textId="7F5B39A6" w:rsidR="00E67FEC" w:rsidRPr="008243EA" w:rsidRDefault="00E67FEC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</w:t>
      </w:r>
      <w:r w:rsidR="00D6759E" w:rsidRPr="008243EA">
        <w:rPr>
          <w:rFonts w:ascii="黑体" w:eastAsia="黑体" w:hAnsi="黑体" w:hint="eastAsia"/>
          <w:spacing w:val="0"/>
          <w:sz w:val="32"/>
          <w:szCs w:val="32"/>
        </w:rPr>
        <w:t>五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 xml:space="preserve">章 </w:t>
      </w:r>
      <w:r w:rsidR="009D3056" w:rsidRPr="008243EA">
        <w:rPr>
          <w:rFonts w:ascii="黑体" w:eastAsia="黑体" w:hAnsi="黑体" w:hint="eastAsia"/>
          <w:spacing w:val="0"/>
          <w:sz w:val="32"/>
          <w:szCs w:val="32"/>
        </w:rPr>
        <w:t>贝塔系数</w:t>
      </w:r>
    </w:p>
    <w:p w14:paraId="13BB2D84" w14:textId="69BF97E7" w:rsidR="007561C2" w:rsidRPr="008243EA" w:rsidRDefault="00FF390C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六</w:t>
      </w:r>
      <w:r w:rsidR="00D17053"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="002C03C9"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8C5D38" w:rsidRPr="008243EA">
        <w:rPr>
          <w:rFonts w:ascii="Times New Roman" w:hAnsi="Times New Roman"/>
          <w:spacing w:val="0"/>
          <w:sz w:val="32"/>
          <w:szCs w:val="32"/>
        </w:rPr>
        <w:t>贝塔系数（</w:t>
      </w:r>
      <w:r w:rsidR="002C03C9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系数</w:t>
      </w:r>
      <w:r w:rsidR="008C5D38" w:rsidRPr="008243EA">
        <w:rPr>
          <w:rFonts w:ascii="Times New Roman" w:hAnsi="Times New Roman"/>
          <w:spacing w:val="0"/>
          <w:sz w:val="32"/>
          <w:szCs w:val="32"/>
        </w:rPr>
        <w:t>）</w:t>
      </w:r>
      <w:r w:rsidR="002C03C9"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="008266B8" w:rsidRPr="008243EA">
        <w:rPr>
          <w:rFonts w:ascii="Times New Roman" w:hAnsi="Times New Roman"/>
          <w:spacing w:val="0"/>
          <w:sz w:val="32"/>
          <w:szCs w:val="32"/>
        </w:rPr>
        <w:t>系统性</w:t>
      </w:r>
      <w:r w:rsidR="007561C2" w:rsidRPr="008243EA">
        <w:rPr>
          <w:rFonts w:ascii="Times New Roman" w:hAnsi="Times New Roman"/>
          <w:spacing w:val="0"/>
          <w:sz w:val="32"/>
          <w:szCs w:val="32"/>
        </w:rPr>
        <w:t>因素</w:t>
      </w:r>
      <w:r w:rsidR="004510F0" w:rsidRPr="008243EA">
        <w:rPr>
          <w:rFonts w:ascii="Times New Roman" w:hAnsi="Times New Roman"/>
          <w:spacing w:val="0"/>
          <w:sz w:val="32"/>
          <w:szCs w:val="32"/>
        </w:rPr>
        <w:t>给</w:t>
      </w:r>
      <w:r w:rsidR="007561C2" w:rsidRPr="008243EA">
        <w:rPr>
          <w:rFonts w:ascii="Times New Roman" w:hAnsi="Times New Roman"/>
          <w:spacing w:val="0"/>
          <w:sz w:val="32"/>
          <w:szCs w:val="32"/>
        </w:rPr>
        <w:t>股权</w:t>
      </w:r>
      <w:r w:rsidR="00F46AAE" w:rsidRPr="008243EA">
        <w:rPr>
          <w:rFonts w:ascii="Times New Roman" w:hAnsi="Times New Roman"/>
          <w:spacing w:val="0"/>
          <w:sz w:val="32"/>
          <w:szCs w:val="32"/>
        </w:rPr>
        <w:t>投资者</w:t>
      </w:r>
      <w:r w:rsidR="008E79BA" w:rsidRPr="008243EA">
        <w:rPr>
          <w:rFonts w:ascii="Times New Roman" w:hAnsi="Times New Roman"/>
          <w:spacing w:val="0"/>
          <w:sz w:val="32"/>
          <w:szCs w:val="32"/>
        </w:rPr>
        <w:t>带来</w:t>
      </w:r>
      <w:r w:rsidR="007561C2" w:rsidRPr="008243EA">
        <w:rPr>
          <w:rFonts w:ascii="Times New Roman" w:hAnsi="Times New Roman"/>
          <w:spacing w:val="0"/>
          <w:sz w:val="32"/>
          <w:szCs w:val="32"/>
        </w:rPr>
        <w:t>的不可分散的风险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由</w:t>
      </w:r>
      <w:r w:rsidR="004510F0" w:rsidRPr="008243EA">
        <w:rPr>
          <w:rFonts w:ascii="Times New Roman" w:hAnsi="Times New Roman"/>
          <w:spacing w:val="0"/>
          <w:sz w:val="32"/>
          <w:szCs w:val="32"/>
        </w:rPr>
        <w:t>股票收益率与市场收益率的协方差除以市场收益率的方差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得到</w:t>
      </w:r>
      <w:r w:rsidR="004510F0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系数等于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1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，表示股权</w:t>
      </w:r>
      <w:r w:rsidR="00F46AAE" w:rsidRPr="008243EA">
        <w:rPr>
          <w:rFonts w:ascii="Times New Roman" w:hAnsi="Times New Roman"/>
          <w:spacing w:val="0"/>
          <w:sz w:val="32"/>
          <w:szCs w:val="32"/>
        </w:rPr>
        <w:t>投资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风险与整体市场风险相当，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系数大于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1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（或者小于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1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）表示股权</w:t>
      </w:r>
      <w:r w:rsidR="00F46AAE" w:rsidRPr="008243EA">
        <w:rPr>
          <w:rFonts w:ascii="Times New Roman" w:hAnsi="Times New Roman"/>
          <w:spacing w:val="0"/>
          <w:sz w:val="32"/>
          <w:szCs w:val="32"/>
        </w:rPr>
        <w:t>投资</w:t>
      </w:r>
      <w:r w:rsidR="005541D0" w:rsidRPr="008243EA">
        <w:rPr>
          <w:rFonts w:ascii="Times New Roman" w:hAnsi="Times New Roman"/>
          <w:spacing w:val="0"/>
          <w:sz w:val="32"/>
          <w:szCs w:val="32"/>
        </w:rPr>
        <w:t>风险大于（或者小于）整体市场。</w:t>
      </w:r>
    </w:p>
    <w:p w14:paraId="0BD1E47E" w14:textId="763369D5" w:rsidR="00D31B24" w:rsidRPr="008243EA" w:rsidRDefault="00D31B24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七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非上市公司的股权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系数通常由多家可比上</w:t>
      </w:r>
      <w:r w:rsidRPr="008243EA">
        <w:rPr>
          <w:rFonts w:ascii="Times New Roman" w:hAnsi="Times New Roman"/>
          <w:spacing w:val="0"/>
          <w:sz w:val="32"/>
          <w:szCs w:val="32"/>
        </w:rPr>
        <w:lastRenderedPageBreak/>
        <w:t>市公司的平均股权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系数调整得到，即</w:t>
      </w:r>
      <w:r w:rsidR="00A66B9F" w:rsidRPr="008243EA">
        <w:rPr>
          <w:rFonts w:ascii="Times New Roman" w:hAnsi="Times New Roman"/>
          <w:spacing w:val="0"/>
          <w:sz w:val="32"/>
          <w:szCs w:val="32"/>
        </w:rPr>
        <w:t>计算</w:t>
      </w:r>
      <w:r w:rsidRPr="008243EA">
        <w:rPr>
          <w:rFonts w:ascii="Times New Roman" w:hAnsi="Times New Roman"/>
          <w:spacing w:val="0"/>
          <w:sz w:val="32"/>
          <w:szCs w:val="32"/>
        </w:rPr>
        <w:t>可比上市公司</w:t>
      </w:r>
      <w:r w:rsidR="00E67336" w:rsidRPr="008243EA">
        <w:rPr>
          <w:rFonts w:ascii="Times New Roman" w:hAnsi="Times New Roman"/>
          <w:spacing w:val="0"/>
          <w:sz w:val="32"/>
          <w:szCs w:val="32"/>
        </w:rPr>
        <w:t>带杠杆</w:t>
      </w:r>
      <w:r w:rsidR="00A66B9F" w:rsidRPr="008243EA">
        <w:rPr>
          <w:rFonts w:ascii="Times New Roman" w:hAnsi="Times New Roman"/>
          <w:spacing w:val="0"/>
          <w:sz w:val="32"/>
          <w:szCs w:val="32"/>
        </w:rPr>
        <w:t>的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L</m:t>
            </m:r>
          </m:sub>
        </m:sSub>
      </m:oMath>
      <w:r w:rsidR="00A66B9F" w:rsidRPr="008243EA">
        <w:rPr>
          <w:rFonts w:ascii="Times New Roman" w:hAnsi="Times New Roman"/>
          <w:spacing w:val="0"/>
          <w:sz w:val="32"/>
          <w:szCs w:val="32"/>
        </w:rPr>
        <w:t>并调整为</w:t>
      </w:r>
      <w:r w:rsidR="00E67336" w:rsidRPr="008243EA">
        <w:rPr>
          <w:rFonts w:ascii="Times New Roman" w:hAnsi="Times New Roman"/>
          <w:spacing w:val="0"/>
          <w:sz w:val="32"/>
          <w:szCs w:val="32"/>
        </w:rPr>
        <w:t>不带杠杆的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U</m:t>
            </m:r>
          </m:sub>
        </m:sSub>
      </m:oMath>
      <w:r w:rsidR="00A66B9F" w:rsidRPr="008243EA">
        <w:rPr>
          <w:rFonts w:ascii="Times New Roman" w:hAnsi="Times New Roman"/>
          <w:spacing w:val="0"/>
          <w:sz w:val="32"/>
          <w:szCs w:val="32"/>
        </w:rPr>
        <w:t>，在此基础上通过取平均值</w:t>
      </w:r>
      <w:r w:rsidR="00F46AAE" w:rsidRPr="008243EA">
        <w:rPr>
          <w:rFonts w:ascii="Times New Roman" w:hAnsi="Times New Roman"/>
          <w:spacing w:val="0"/>
          <w:sz w:val="32"/>
          <w:szCs w:val="32"/>
        </w:rPr>
        <w:t>、中位数</w:t>
      </w:r>
      <w:r w:rsidR="00A66B9F" w:rsidRPr="008243EA">
        <w:rPr>
          <w:rFonts w:ascii="Times New Roman" w:hAnsi="Times New Roman"/>
          <w:spacing w:val="0"/>
          <w:sz w:val="32"/>
          <w:szCs w:val="32"/>
        </w:rPr>
        <w:t>等方法得到被评估企业的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U</m:t>
            </m:r>
          </m:sub>
        </m:sSub>
      </m:oMath>
      <w:r w:rsidR="00A66B9F" w:rsidRPr="008243EA">
        <w:rPr>
          <w:rFonts w:ascii="Times New Roman" w:hAnsi="Times New Roman"/>
          <w:spacing w:val="0"/>
          <w:sz w:val="32"/>
          <w:szCs w:val="32"/>
        </w:rPr>
        <w:t>，最后</w:t>
      </w:r>
      <w:r w:rsidRPr="008243EA">
        <w:rPr>
          <w:rFonts w:ascii="Times New Roman" w:hAnsi="Times New Roman"/>
          <w:spacing w:val="0"/>
          <w:sz w:val="32"/>
          <w:szCs w:val="32"/>
        </w:rPr>
        <w:t>考虑被评估企业的</w:t>
      </w:r>
      <w:r w:rsidR="00E72F77" w:rsidRPr="008243EA">
        <w:rPr>
          <w:rFonts w:ascii="Times New Roman" w:hAnsi="Times New Roman"/>
          <w:spacing w:val="0"/>
          <w:sz w:val="32"/>
          <w:szCs w:val="32"/>
        </w:rPr>
        <w:t>资本结构得到其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L</m:t>
            </m:r>
          </m:sub>
        </m:sSub>
      </m:oMath>
      <w:r w:rsidR="00E72F77" w:rsidRPr="008243EA">
        <w:rPr>
          <w:rFonts w:ascii="Times New Roman" w:hAnsi="Times New Roman"/>
          <w:spacing w:val="0"/>
          <w:sz w:val="32"/>
          <w:szCs w:val="32"/>
        </w:rPr>
        <w:t>，</w:t>
      </w:r>
      <w:r w:rsidRPr="008243EA">
        <w:rPr>
          <w:rFonts w:ascii="Times New Roman" w:hAnsi="Times New Roman"/>
          <w:spacing w:val="0"/>
          <w:sz w:val="32"/>
          <w:szCs w:val="32"/>
        </w:rPr>
        <w:t>计算公式如下：</w:t>
      </w:r>
    </w:p>
    <w:p w14:paraId="325FBAD5" w14:textId="77777777" w:rsidR="005E7646" w:rsidRPr="008243EA" w:rsidRDefault="00532B5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U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L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1+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1-</m:t>
                  </m:r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E</m:t>
                  </m:r>
                </m:den>
              </m:f>
            </m:den>
          </m:f>
        </m:oMath>
      </m:oMathPara>
    </w:p>
    <w:p w14:paraId="462F58CB" w14:textId="0BBFF01D" w:rsidR="00E72F77" w:rsidRPr="008243EA" w:rsidRDefault="00532B5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m:oMathPara>
        <m:oMath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L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U</m:t>
              </m:r>
            </m:sub>
          </m:sSub>
          <m:d>
            <m:dPr>
              <m:begChr m:val="["/>
              <m:endChr m:val="]"/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1+</m:t>
              </m:r>
              <m:d>
                <m:dPr>
                  <m:begChr m:val="（"/>
                  <m:endChr m:val="）"/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1-</m:t>
                  </m:r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T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×</m:t>
              </m:r>
              <m:f>
                <m:fPr>
                  <m:ctrlP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D</m:t>
                  </m:r>
                </m:num>
                <m:den>
                  <m:r>
                    <w:rPr>
                      <w:rFonts w:ascii="Cambria Math" w:hAnsi="Cambria Math"/>
                      <w:spacing w:val="0"/>
                      <w:sz w:val="32"/>
                      <w:szCs w:val="32"/>
                    </w:rPr>
                    <m:t>E</m:t>
                  </m:r>
                </m:den>
              </m:f>
            </m:e>
          </m:d>
        </m:oMath>
      </m:oMathPara>
    </w:p>
    <w:p w14:paraId="3C98869D" w14:textId="044B2A0B" w:rsidR="00E72F77" w:rsidRPr="008243EA" w:rsidRDefault="00E72F77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式中</w:t>
      </w:r>
      <w:r w:rsidR="009B0308" w:rsidRPr="008243EA">
        <w:rPr>
          <w:rFonts w:ascii="Times New Roman" w:hAnsi="Times New Roman"/>
          <w:spacing w:val="0"/>
          <w:sz w:val="32"/>
          <w:szCs w:val="32"/>
        </w:rPr>
        <w:t>：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U</m:t>
            </m:r>
          </m:sub>
        </m:sSub>
      </m:oMath>
      <w:r w:rsidRPr="008243EA">
        <w:rPr>
          <w:rFonts w:ascii="Times New Roman" w:hAnsi="Times New Roman"/>
          <w:spacing w:val="0"/>
          <w:sz w:val="32"/>
          <w:szCs w:val="32"/>
        </w:rPr>
        <w:t>表示的无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财务</w:t>
      </w:r>
      <w:r w:rsidRPr="008243EA">
        <w:rPr>
          <w:rFonts w:ascii="Times New Roman" w:hAnsi="Times New Roman"/>
          <w:spacing w:val="0"/>
          <w:sz w:val="32"/>
          <w:szCs w:val="32"/>
        </w:rPr>
        <w:t>杠杆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的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，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w:rPr>
                <w:rFonts w:ascii="Cambria Math" w:hAnsi="Cambria Math"/>
                <w:spacing w:val="0"/>
                <w:sz w:val="32"/>
                <w:szCs w:val="32"/>
              </w:rPr>
              <m:t>L</m:t>
            </m:r>
          </m:sub>
        </m:sSub>
      </m:oMath>
      <w:r w:rsidR="00DF1D2A" w:rsidRPr="008243EA">
        <w:rPr>
          <w:rFonts w:ascii="Times New Roman" w:hAnsi="Times New Roman"/>
          <w:spacing w:val="0"/>
          <w:sz w:val="32"/>
          <w:szCs w:val="32"/>
        </w:rPr>
        <w:t>表示包含财务杠杆的</w:t>
      </w:r>
      <w:r w:rsidR="000752CE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系数，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T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="00F529C8" w:rsidRPr="008243EA">
        <w:rPr>
          <w:rFonts w:ascii="Times New Roman" w:hAnsi="Times New Roman"/>
          <w:spacing w:val="0"/>
          <w:sz w:val="32"/>
          <w:szCs w:val="32"/>
        </w:rPr>
        <w:t>所得税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税率，</w:t>
      </w:r>
      <m:oMath>
        <m:f>
          <m:f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pacing w:val="0"/>
                <w:sz w:val="32"/>
                <w:szCs w:val="32"/>
              </w:rPr>
              <m:t>D</m:t>
            </m:r>
          </m:num>
          <m:den>
            <m:r>
              <w:rPr>
                <w:rFonts w:ascii="Cambria Math" w:hAnsi="Cambria Math"/>
                <w:spacing w:val="0"/>
                <w:sz w:val="32"/>
                <w:szCs w:val="32"/>
              </w:rPr>
              <m:t>E</m:t>
            </m:r>
          </m:den>
        </m:f>
      </m:oMath>
      <w:r w:rsidR="009B0308" w:rsidRPr="008243EA">
        <w:rPr>
          <w:rFonts w:ascii="Times New Roman" w:hAnsi="Times New Roman"/>
          <w:spacing w:val="0"/>
          <w:sz w:val="32"/>
          <w:szCs w:val="32"/>
        </w:rPr>
        <w:t>表示债权和股权</w:t>
      </w:r>
      <w:r w:rsidR="00D31634" w:rsidRPr="008243EA">
        <w:rPr>
          <w:rFonts w:ascii="Times New Roman" w:hAnsi="Times New Roman"/>
          <w:spacing w:val="0"/>
          <w:sz w:val="32"/>
          <w:szCs w:val="32"/>
        </w:rPr>
        <w:t>的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价值</w:t>
      </w:r>
      <w:r w:rsidR="009B0308" w:rsidRPr="008243EA">
        <w:rPr>
          <w:rFonts w:ascii="Times New Roman" w:hAnsi="Times New Roman"/>
          <w:spacing w:val="0"/>
          <w:sz w:val="32"/>
          <w:szCs w:val="32"/>
        </w:rPr>
        <w:t>比例。</w:t>
      </w:r>
    </w:p>
    <w:p w14:paraId="4B878AE4" w14:textId="1F232A33" w:rsidR="005E7646" w:rsidRPr="008243EA" w:rsidRDefault="005E7646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八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以上计算得到的是</w:t>
      </w:r>
      <w:r w:rsidRPr="008243EA">
        <w:rPr>
          <w:rFonts w:ascii="Times New Roman" w:hAnsi="Times New Roman"/>
          <w:spacing w:val="0"/>
          <w:sz w:val="32"/>
          <w:szCs w:val="32"/>
        </w:rPr>
        <w:t>原始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系数，评估中可以直接采用原始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，也可以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基于预测需要对原始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进行调整，</w:t>
      </w:r>
      <w:r w:rsidR="00966C3C" w:rsidRPr="008243EA">
        <w:rPr>
          <w:rFonts w:ascii="Times New Roman" w:hAnsi="Times New Roman"/>
          <w:spacing w:val="0"/>
          <w:sz w:val="32"/>
          <w:szCs w:val="32"/>
        </w:rPr>
        <w:t>常用的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布鲁姆调整法</w:t>
      </w:r>
      <w:r w:rsidR="00AA2D8D" w:rsidRPr="008243EA">
        <w:rPr>
          <w:rFonts w:ascii="Times New Roman" w:hAnsi="Times New Roman"/>
          <w:spacing w:val="0"/>
          <w:sz w:val="32"/>
          <w:szCs w:val="32"/>
        </w:rPr>
        <w:t>（</w:t>
      </w:r>
      <w:r w:rsidR="00AA2D8D" w:rsidRPr="008243EA">
        <w:rPr>
          <w:rFonts w:ascii="Times New Roman" w:hAnsi="Times New Roman"/>
          <w:spacing w:val="0"/>
          <w:sz w:val="32"/>
          <w:szCs w:val="32"/>
        </w:rPr>
        <w:t>Blume Adjustment</w:t>
      </w:r>
      <w:r w:rsidR="00AA2D8D" w:rsidRPr="008243EA">
        <w:rPr>
          <w:rFonts w:ascii="Times New Roman" w:hAnsi="Times New Roman"/>
          <w:spacing w:val="0"/>
          <w:sz w:val="32"/>
          <w:szCs w:val="32"/>
        </w:rPr>
        <w:t>）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是基于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系数未来会向市场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趋近的假设，计算公式</w:t>
      </w:r>
      <w:r w:rsidRPr="008243EA">
        <w:rPr>
          <w:rFonts w:ascii="Times New Roman" w:hAnsi="Times New Roman"/>
          <w:spacing w:val="0"/>
          <w:sz w:val="32"/>
          <w:szCs w:val="32"/>
        </w:rPr>
        <w:t>如下：</w:t>
      </w:r>
    </w:p>
    <w:p w14:paraId="29E8308F" w14:textId="77777777" w:rsidR="005E7646" w:rsidRPr="008243EA" w:rsidRDefault="005E7646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m:oMathPara>
        <m:oMath>
          <m:r>
            <w:rPr>
              <w:rFonts w:ascii="Cambria Math" w:hAnsi="Cambria Math"/>
              <w:spacing w:val="0"/>
              <w:sz w:val="32"/>
              <w:szCs w:val="32"/>
            </w:rPr>
            <m:t>β</m:t>
          </m:r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=</m:t>
          </m:r>
          <m:sSub>
            <m:sSub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/>
                  <w:spacing w:val="0"/>
                  <w:sz w:val="32"/>
                  <w:szCs w:val="32"/>
                </w:rPr>
                <m:t>β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原始</m:t>
              </m:r>
            </m:sub>
          </m:sSub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×</m:t>
          </m:r>
          <m:f>
            <m:f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spacing w:val="0"/>
              <w:sz w:val="32"/>
              <w:szCs w:val="32"/>
            </w:rPr>
            <m:t>+1×</m:t>
          </m:r>
          <m:f>
            <m:fPr>
              <m:ctrlPr>
                <w:rPr>
                  <w:rFonts w:ascii="Cambria Math" w:hAnsi="Cambria Math"/>
                  <w:spacing w:val="0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pacing w:val="0"/>
                  <w:sz w:val="32"/>
                  <w:szCs w:val="32"/>
                </w:rPr>
                <m:t>3</m:t>
              </m:r>
            </m:den>
          </m:f>
        </m:oMath>
      </m:oMathPara>
    </w:p>
    <w:p w14:paraId="4B9BAEB9" w14:textId="1A3393F2" w:rsidR="005E7646" w:rsidRPr="008243EA" w:rsidRDefault="005E7646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式中：</w:t>
      </w:r>
      <m:oMath>
        <m:sSub>
          <m:sSubPr>
            <m:ctrlPr>
              <w:rPr>
                <w:rFonts w:ascii="Cambria Math" w:hAnsi="Cambria Math"/>
                <w:spacing w:val="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pacing w:val="0"/>
                <w:sz w:val="32"/>
                <w:szCs w:val="3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pacing w:val="0"/>
                <w:sz w:val="32"/>
                <w:szCs w:val="32"/>
              </w:rPr>
              <m:t>原始</m:t>
            </m:r>
          </m:sub>
        </m:sSub>
      </m:oMath>
      <w:r w:rsidRPr="008243EA">
        <w:rPr>
          <w:rFonts w:ascii="Times New Roman" w:hAnsi="Times New Roman"/>
          <w:spacing w:val="0"/>
          <w:sz w:val="32"/>
          <w:szCs w:val="32"/>
        </w:rPr>
        <w:t>表示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上述</w:t>
      </w:r>
      <w:r w:rsidRPr="008243EA">
        <w:rPr>
          <w:rFonts w:ascii="Times New Roman" w:hAnsi="Times New Roman"/>
          <w:spacing w:val="0"/>
          <w:sz w:val="32"/>
          <w:szCs w:val="32"/>
        </w:rPr>
        <w:t>由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可比公司历史数据</w:t>
      </w:r>
      <w:r w:rsidRPr="008243EA">
        <w:rPr>
          <w:rFonts w:ascii="Times New Roman" w:hAnsi="Times New Roman"/>
          <w:spacing w:val="0"/>
          <w:sz w:val="32"/>
          <w:szCs w:val="32"/>
        </w:rPr>
        <w:t>计算得到的</w:t>
      </w:r>
      <w:r w:rsidR="00DF1D2A" w:rsidRPr="008243EA">
        <w:rPr>
          <w:rFonts w:ascii="Times New Roman" w:hAnsi="Times New Roman"/>
          <w:spacing w:val="0"/>
          <w:sz w:val="32"/>
          <w:szCs w:val="32"/>
        </w:rPr>
        <w:t>被评估企业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的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系数。</w:t>
      </w:r>
    </w:p>
    <w:p w14:paraId="7D1A2F7E" w14:textId="23169B81" w:rsidR="007C6FF2" w:rsidRPr="008243EA" w:rsidRDefault="007C6FF2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第十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九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评估专业人员在选择可比公司时，</w:t>
      </w:r>
      <w:r w:rsidR="00E67336" w:rsidRPr="008243EA">
        <w:rPr>
          <w:rFonts w:ascii="Times New Roman" w:hAnsi="Times New Roman"/>
          <w:spacing w:val="0"/>
          <w:sz w:val="32"/>
          <w:szCs w:val="32"/>
        </w:rPr>
        <w:t>一般需要</w:t>
      </w:r>
      <w:r w:rsidRPr="008243EA">
        <w:rPr>
          <w:rFonts w:ascii="Times New Roman" w:hAnsi="Times New Roman"/>
          <w:spacing w:val="0"/>
          <w:sz w:val="32"/>
          <w:szCs w:val="32"/>
        </w:rPr>
        <w:t>综合考虑可比公司与被评估企业在</w:t>
      </w:r>
      <w:r w:rsidR="00C53653" w:rsidRPr="008243EA">
        <w:rPr>
          <w:rFonts w:ascii="Times New Roman" w:hAnsi="Times New Roman"/>
          <w:spacing w:val="0"/>
          <w:sz w:val="32"/>
          <w:szCs w:val="32"/>
        </w:rPr>
        <w:t>业务类型、</w:t>
      </w:r>
      <w:r w:rsidR="00C81519" w:rsidRPr="008243EA">
        <w:rPr>
          <w:rFonts w:ascii="Times New Roman" w:hAnsi="Times New Roman"/>
          <w:spacing w:val="0"/>
          <w:sz w:val="32"/>
          <w:szCs w:val="32"/>
        </w:rPr>
        <w:t>企业规模、盈利能力</w:t>
      </w:r>
      <w:r w:rsidR="00783064" w:rsidRPr="008243EA">
        <w:rPr>
          <w:rFonts w:ascii="Times New Roman" w:hAnsi="Times New Roman"/>
          <w:spacing w:val="0"/>
          <w:sz w:val="32"/>
          <w:szCs w:val="32"/>
        </w:rPr>
        <w:t>、</w:t>
      </w:r>
      <w:r w:rsidRPr="008243EA">
        <w:rPr>
          <w:rFonts w:ascii="Times New Roman" w:hAnsi="Times New Roman"/>
          <w:spacing w:val="0"/>
          <w:sz w:val="32"/>
          <w:szCs w:val="32"/>
        </w:rPr>
        <w:t>资本结构、行业竞争力等</w:t>
      </w:r>
      <w:r w:rsidR="00E67336" w:rsidRPr="008243EA">
        <w:rPr>
          <w:rFonts w:ascii="Times New Roman" w:hAnsi="Times New Roman"/>
          <w:spacing w:val="0"/>
          <w:sz w:val="32"/>
          <w:szCs w:val="32"/>
        </w:rPr>
        <w:t>多方</w:t>
      </w:r>
      <w:r w:rsidRPr="008243EA">
        <w:rPr>
          <w:rFonts w:ascii="Times New Roman" w:hAnsi="Times New Roman"/>
          <w:spacing w:val="0"/>
          <w:sz w:val="32"/>
          <w:szCs w:val="32"/>
        </w:rPr>
        <w:t>面的可比性</w:t>
      </w:r>
      <w:r w:rsidR="005E7646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41B8C2F4" w14:textId="1A4871FC" w:rsidR="009D3056" w:rsidRPr="008243EA" w:rsidRDefault="004164F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lastRenderedPageBreak/>
        <w:t>第</w:t>
      </w:r>
      <w:r w:rsidR="009C01F4" w:rsidRPr="008243EA">
        <w:rPr>
          <w:rFonts w:ascii="Times New Roman" w:hAnsi="Times New Roman"/>
          <w:b/>
          <w:spacing w:val="0"/>
          <w:sz w:val="32"/>
          <w:szCs w:val="32"/>
        </w:rPr>
        <w:t>二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十条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FD449D" w:rsidRPr="008243EA">
        <w:rPr>
          <w:rFonts w:ascii="Times New Roman" w:hAnsi="Times New Roman"/>
          <w:spacing w:val="0"/>
          <w:sz w:val="32"/>
          <w:szCs w:val="32"/>
        </w:rPr>
        <w:t>可比</w:t>
      </w:r>
      <w:r w:rsidRPr="008243EA">
        <w:rPr>
          <w:rFonts w:ascii="Times New Roman" w:hAnsi="Times New Roman"/>
          <w:spacing w:val="0"/>
          <w:sz w:val="32"/>
          <w:szCs w:val="32"/>
        </w:rPr>
        <w:t>上市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公司</w:t>
      </w:r>
      <w:r w:rsidRPr="008243EA">
        <w:rPr>
          <w:rFonts w:ascii="Times New Roman" w:hAnsi="Times New Roman"/>
          <w:spacing w:val="0"/>
          <w:sz w:val="32"/>
          <w:szCs w:val="32"/>
        </w:rPr>
        <w:t>的</w:t>
      </w:r>
      <w:r w:rsidRPr="008243EA">
        <w:rPr>
          <w:rFonts w:ascii="Times New Roman" w:hAnsi="Times New Roman"/>
          <w:spacing w:val="0"/>
          <w:sz w:val="32"/>
          <w:szCs w:val="32"/>
        </w:rPr>
        <w:t>β</w:t>
      </w:r>
      <w:r w:rsidRPr="008243EA">
        <w:rPr>
          <w:rFonts w:ascii="Times New Roman" w:hAnsi="Times New Roman"/>
          <w:spacing w:val="0"/>
          <w:sz w:val="32"/>
          <w:szCs w:val="32"/>
        </w:rPr>
        <w:t>系数可以用上市公司</w:t>
      </w:r>
      <w:r w:rsidR="00D31B24" w:rsidRPr="008243EA">
        <w:rPr>
          <w:rFonts w:ascii="Times New Roman" w:hAnsi="Times New Roman"/>
          <w:spacing w:val="0"/>
          <w:sz w:val="32"/>
          <w:szCs w:val="32"/>
        </w:rPr>
        <w:t>的</w:t>
      </w:r>
      <w:r w:rsidRPr="008243EA">
        <w:rPr>
          <w:rFonts w:ascii="Times New Roman" w:hAnsi="Times New Roman"/>
          <w:spacing w:val="0"/>
          <w:sz w:val="32"/>
          <w:szCs w:val="32"/>
        </w:rPr>
        <w:t>股权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历史</w:t>
      </w:r>
      <w:r w:rsidRPr="008243EA">
        <w:rPr>
          <w:rFonts w:ascii="Times New Roman" w:hAnsi="Times New Roman"/>
          <w:spacing w:val="0"/>
          <w:sz w:val="32"/>
          <w:szCs w:val="32"/>
        </w:rPr>
        <w:t>交易数据</w:t>
      </w:r>
      <w:r w:rsidR="00811F20" w:rsidRPr="008243EA">
        <w:rPr>
          <w:rFonts w:ascii="Times New Roman" w:hAnsi="Times New Roman"/>
          <w:spacing w:val="0"/>
          <w:sz w:val="32"/>
          <w:szCs w:val="32"/>
        </w:rPr>
        <w:t>通过回归方法计算</w:t>
      </w:r>
      <w:r w:rsidRPr="008243EA">
        <w:rPr>
          <w:rFonts w:ascii="Times New Roman" w:hAnsi="Times New Roman"/>
          <w:spacing w:val="0"/>
          <w:sz w:val="32"/>
          <w:szCs w:val="32"/>
        </w:rPr>
        <w:t>得到</w:t>
      </w:r>
      <w:r w:rsidR="009C01F4" w:rsidRPr="008243EA">
        <w:rPr>
          <w:rFonts w:ascii="Times New Roman" w:hAnsi="Times New Roman"/>
          <w:spacing w:val="0"/>
          <w:sz w:val="32"/>
          <w:szCs w:val="32"/>
        </w:rPr>
        <w:t>，也可以直接从相关数据平台查询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获取</w:t>
      </w:r>
      <w:r w:rsidR="00D31B24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10F3B60A" w14:textId="22E82826" w:rsidR="009D3056" w:rsidRPr="008243EA" w:rsidRDefault="009D3056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</w:t>
      </w:r>
      <w:r w:rsidR="00D6759E" w:rsidRPr="008243EA">
        <w:rPr>
          <w:rFonts w:ascii="黑体" w:eastAsia="黑体" w:hAnsi="黑体" w:hint="eastAsia"/>
          <w:spacing w:val="0"/>
          <w:sz w:val="32"/>
          <w:szCs w:val="32"/>
        </w:rPr>
        <w:t>六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>章 其他参数</w:t>
      </w:r>
    </w:p>
    <w:p w14:paraId="546CD8EC" w14:textId="6124345E" w:rsidR="00715083" w:rsidRPr="008243EA" w:rsidRDefault="00320AA9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D6759E" w:rsidRPr="008243EA">
        <w:rPr>
          <w:rFonts w:ascii="Times New Roman" w:hAnsi="Times New Roman"/>
          <w:b/>
          <w:spacing w:val="0"/>
          <w:sz w:val="32"/>
          <w:szCs w:val="32"/>
        </w:rPr>
        <w:t>二十一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38230E" w:rsidRPr="008243EA">
        <w:rPr>
          <w:rFonts w:ascii="Times New Roman" w:hAnsi="Times New Roman"/>
          <w:spacing w:val="0"/>
          <w:sz w:val="32"/>
          <w:szCs w:val="32"/>
        </w:rPr>
        <w:t>特定风险</w:t>
      </w:r>
      <w:r w:rsidR="009C01F4" w:rsidRPr="008243EA">
        <w:rPr>
          <w:rFonts w:ascii="Times New Roman" w:hAnsi="Times New Roman"/>
          <w:spacing w:val="0"/>
          <w:sz w:val="32"/>
          <w:szCs w:val="32"/>
        </w:rPr>
        <w:t>报酬率</w:t>
      </w:r>
      <m:oMath>
        <m:r>
          <w:rPr>
            <w:rFonts w:ascii="Cambria Math" w:hAnsi="Cambria Math"/>
            <w:spacing w:val="0"/>
            <w:sz w:val="32"/>
            <w:szCs w:val="32"/>
          </w:rPr>
          <m:t>ε</m:t>
        </m:r>
      </m:oMath>
      <w:r w:rsidR="0038230E" w:rsidRPr="008243EA">
        <w:rPr>
          <w:rFonts w:ascii="Times New Roman" w:hAnsi="Times New Roman"/>
          <w:spacing w:val="0"/>
          <w:sz w:val="32"/>
          <w:szCs w:val="32"/>
        </w:rPr>
        <w:t>表示被评估企业自身</w:t>
      </w:r>
      <w:r w:rsidR="009D3056" w:rsidRPr="008243EA">
        <w:rPr>
          <w:rFonts w:ascii="Times New Roman" w:hAnsi="Times New Roman"/>
          <w:spacing w:val="0"/>
          <w:sz w:val="32"/>
          <w:szCs w:val="32"/>
        </w:rPr>
        <w:t>特定</w:t>
      </w:r>
      <w:r w:rsidR="0038230E" w:rsidRPr="008243EA">
        <w:rPr>
          <w:rFonts w:ascii="Times New Roman" w:hAnsi="Times New Roman"/>
          <w:spacing w:val="0"/>
          <w:sz w:val="32"/>
          <w:szCs w:val="32"/>
        </w:rPr>
        <w:t>因素导致的非系统性风险</w:t>
      </w:r>
      <w:r w:rsidR="009C01F4" w:rsidRPr="008243EA">
        <w:rPr>
          <w:rFonts w:ascii="Times New Roman" w:hAnsi="Times New Roman"/>
          <w:spacing w:val="0"/>
          <w:sz w:val="32"/>
          <w:szCs w:val="32"/>
        </w:rPr>
        <w:t>的报酬率</w:t>
      </w:r>
      <w:r w:rsidR="00715083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7FDFA6C4" w14:textId="427C7D98" w:rsidR="00734312" w:rsidRPr="008243EA" w:rsidRDefault="0071508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7E0369" w:rsidRPr="008243EA">
        <w:rPr>
          <w:rFonts w:ascii="Times New Roman" w:hAnsi="Times New Roman"/>
          <w:b/>
          <w:spacing w:val="0"/>
          <w:sz w:val="32"/>
          <w:szCs w:val="32"/>
        </w:rPr>
        <w:t>二十</w:t>
      </w:r>
      <w:r w:rsidR="00D6759E" w:rsidRPr="008243EA">
        <w:rPr>
          <w:rFonts w:ascii="Times New Roman" w:hAnsi="Times New Roman"/>
          <w:b/>
          <w:spacing w:val="0"/>
          <w:sz w:val="32"/>
          <w:szCs w:val="32"/>
        </w:rPr>
        <w:t>二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特定风险</w:t>
      </w:r>
      <w:r w:rsidR="00A8228D" w:rsidRPr="008243EA">
        <w:rPr>
          <w:rFonts w:ascii="Times New Roman" w:hAnsi="Times New Roman"/>
          <w:spacing w:val="0"/>
          <w:sz w:val="32"/>
          <w:szCs w:val="32"/>
        </w:rPr>
        <w:t>报酬率</w:t>
      </w:r>
      <w:r w:rsidR="00734312" w:rsidRPr="008243EA">
        <w:rPr>
          <w:rFonts w:ascii="Times New Roman" w:hAnsi="Times New Roman"/>
          <w:spacing w:val="0"/>
          <w:sz w:val="32"/>
          <w:szCs w:val="32"/>
        </w:rPr>
        <w:t>一般</w:t>
      </w:r>
      <w:r w:rsidR="00D96158" w:rsidRPr="008243EA">
        <w:rPr>
          <w:rFonts w:ascii="Times New Roman" w:hAnsi="Times New Roman"/>
          <w:spacing w:val="0"/>
          <w:sz w:val="32"/>
          <w:szCs w:val="32"/>
        </w:rPr>
        <w:t>可以通过</w:t>
      </w:r>
      <w:r w:rsidR="00734312" w:rsidRPr="008243EA">
        <w:rPr>
          <w:rFonts w:ascii="Times New Roman" w:hAnsi="Times New Roman"/>
          <w:spacing w:val="0"/>
          <w:sz w:val="32"/>
          <w:szCs w:val="32"/>
        </w:rPr>
        <w:t>以下几种</w:t>
      </w:r>
      <w:r w:rsidR="00A8228D" w:rsidRPr="008243EA">
        <w:rPr>
          <w:rFonts w:ascii="Times New Roman" w:hAnsi="Times New Roman"/>
          <w:spacing w:val="0"/>
          <w:sz w:val="32"/>
          <w:szCs w:val="32"/>
        </w:rPr>
        <w:t>方法</w:t>
      </w:r>
      <w:r w:rsidR="00734312" w:rsidRPr="008243EA">
        <w:rPr>
          <w:rFonts w:ascii="Times New Roman" w:hAnsi="Times New Roman"/>
          <w:spacing w:val="0"/>
          <w:sz w:val="32"/>
          <w:szCs w:val="32"/>
        </w:rPr>
        <w:t>确定：</w:t>
      </w:r>
    </w:p>
    <w:p w14:paraId="1FC9D080" w14:textId="56082BED" w:rsidR="00734312" w:rsidRPr="008243EA" w:rsidRDefault="00734312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（一）</w:t>
      </w:r>
      <w:r w:rsidR="0002727B" w:rsidRPr="008243EA">
        <w:rPr>
          <w:rFonts w:ascii="Times New Roman" w:hAnsi="Times New Roman"/>
          <w:spacing w:val="0"/>
          <w:sz w:val="32"/>
          <w:szCs w:val="32"/>
        </w:rPr>
        <w:t>对</w:t>
      </w:r>
      <w:r w:rsidR="009D3056" w:rsidRPr="008243EA">
        <w:rPr>
          <w:rFonts w:ascii="Times New Roman" w:hAnsi="Times New Roman"/>
          <w:spacing w:val="0"/>
          <w:sz w:val="32"/>
          <w:szCs w:val="32"/>
        </w:rPr>
        <w:t>企业</w:t>
      </w:r>
      <w:r w:rsidR="00D96158" w:rsidRPr="008243EA">
        <w:rPr>
          <w:rFonts w:ascii="Times New Roman" w:hAnsi="Times New Roman"/>
          <w:spacing w:val="0"/>
          <w:sz w:val="32"/>
          <w:szCs w:val="32"/>
        </w:rPr>
        <w:t>的</w:t>
      </w:r>
      <w:r w:rsidR="00694A90" w:rsidRPr="008243EA">
        <w:rPr>
          <w:rFonts w:ascii="Times New Roman" w:hAnsi="Times New Roman"/>
          <w:spacing w:val="0"/>
          <w:sz w:val="32"/>
          <w:szCs w:val="32"/>
        </w:rPr>
        <w:t>规模、竞争力</w:t>
      </w:r>
      <w:r w:rsidR="002A29CB" w:rsidRPr="008243EA">
        <w:rPr>
          <w:rFonts w:ascii="Times New Roman" w:hAnsi="Times New Roman"/>
          <w:spacing w:val="0"/>
          <w:sz w:val="32"/>
          <w:szCs w:val="32"/>
        </w:rPr>
        <w:t>、对大客户和关键供应商的依赖</w:t>
      </w:r>
      <w:r w:rsidR="003D1606" w:rsidRPr="008243EA">
        <w:rPr>
          <w:rFonts w:ascii="Times New Roman" w:hAnsi="Times New Roman"/>
          <w:spacing w:val="0"/>
          <w:sz w:val="32"/>
          <w:szCs w:val="32"/>
        </w:rPr>
        <w:t>、财务风险</w:t>
      </w:r>
      <w:r w:rsidR="00694A90" w:rsidRPr="008243EA">
        <w:rPr>
          <w:rFonts w:ascii="Times New Roman" w:hAnsi="Times New Roman"/>
          <w:spacing w:val="0"/>
          <w:sz w:val="32"/>
          <w:szCs w:val="32"/>
        </w:rPr>
        <w:t>等因素</w:t>
      </w:r>
      <w:r w:rsidR="0002727B" w:rsidRPr="008243EA">
        <w:rPr>
          <w:rFonts w:ascii="Times New Roman" w:hAnsi="Times New Roman"/>
          <w:spacing w:val="0"/>
          <w:sz w:val="32"/>
          <w:szCs w:val="32"/>
        </w:rPr>
        <w:t>进行综合分析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的基础上根据经验判断确定</w:t>
      </w:r>
      <w:r w:rsidRPr="008243EA">
        <w:rPr>
          <w:rFonts w:ascii="Times New Roman" w:hAnsi="Times New Roman"/>
          <w:spacing w:val="0"/>
          <w:sz w:val="32"/>
          <w:szCs w:val="32"/>
        </w:rPr>
        <w:t>；</w:t>
      </w:r>
    </w:p>
    <w:p w14:paraId="0A7E65F8" w14:textId="3D1EDAA4" w:rsidR="00734312" w:rsidRPr="008243EA" w:rsidRDefault="00734312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（二）</w:t>
      </w:r>
      <w:r w:rsidR="00966C3C" w:rsidRPr="008243EA">
        <w:rPr>
          <w:rFonts w:ascii="Times New Roman" w:hAnsi="Times New Roman"/>
          <w:spacing w:val="0"/>
          <w:sz w:val="32"/>
          <w:szCs w:val="32"/>
        </w:rPr>
        <w:t>通过多因素回归分析用量化方法计算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得到</w:t>
      </w:r>
      <w:r w:rsidRPr="008243EA">
        <w:rPr>
          <w:rFonts w:ascii="Times New Roman" w:hAnsi="Times New Roman"/>
          <w:spacing w:val="0"/>
          <w:sz w:val="32"/>
          <w:szCs w:val="32"/>
        </w:rPr>
        <w:t>；</w:t>
      </w:r>
    </w:p>
    <w:p w14:paraId="3465165A" w14:textId="52989732" w:rsidR="00320AA9" w:rsidRPr="008243EA" w:rsidRDefault="00734312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（三）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将特定风险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报酬率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拆分为</w:t>
      </w:r>
      <w:r w:rsidRPr="008243EA">
        <w:rPr>
          <w:rFonts w:ascii="Times New Roman" w:hAnsi="Times New Roman"/>
          <w:spacing w:val="0"/>
          <w:sz w:val="32"/>
          <w:szCs w:val="32"/>
        </w:rPr>
        <w:t>规模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溢价和其他特定风险溢价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。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规模溢价可以通过市场数据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进行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实证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分析得到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也可以参考</w:t>
      </w:r>
      <w:r w:rsidR="009C01F4" w:rsidRPr="008243EA">
        <w:rPr>
          <w:rFonts w:ascii="Times New Roman" w:hAnsi="Times New Roman"/>
          <w:spacing w:val="0"/>
          <w:sz w:val="32"/>
          <w:szCs w:val="32"/>
        </w:rPr>
        <w:t>相关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专家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学者或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者专业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机构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研究发布的数据；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其他特定风险溢价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一般可以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通过经验判断</w:t>
      </w:r>
      <w:r w:rsidR="00D65227" w:rsidRPr="008243EA">
        <w:rPr>
          <w:rFonts w:ascii="Times New Roman" w:hAnsi="Times New Roman"/>
          <w:spacing w:val="0"/>
          <w:sz w:val="32"/>
          <w:szCs w:val="32"/>
        </w:rPr>
        <w:t>分析</w:t>
      </w:r>
      <w:r w:rsidR="00BF32F8" w:rsidRPr="008243EA">
        <w:rPr>
          <w:rFonts w:ascii="Times New Roman" w:hAnsi="Times New Roman"/>
          <w:spacing w:val="0"/>
          <w:sz w:val="32"/>
          <w:szCs w:val="32"/>
        </w:rPr>
        <w:t>确定</w:t>
      </w:r>
      <w:r w:rsidR="00694A90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032847F4" w14:textId="61F75FD9" w:rsidR="00BF32F8" w:rsidRPr="008243EA" w:rsidRDefault="00BF32F8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第二十</w:t>
      </w:r>
      <w:r w:rsidR="00D6759E" w:rsidRPr="008243EA">
        <w:rPr>
          <w:rFonts w:ascii="Times New Roman" w:hAnsi="Times New Roman"/>
          <w:b/>
          <w:spacing w:val="0"/>
          <w:sz w:val="32"/>
          <w:szCs w:val="32"/>
        </w:rPr>
        <w:t>三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2A766F" w:rsidRPr="008243EA">
        <w:rPr>
          <w:rFonts w:ascii="Times New Roman" w:hAnsi="Times New Roman"/>
          <w:spacing w:val="0"/>
          <w:sz w:val="32"/>
          <w:szCs w:val="32"/>
        </w:rPr>
        <w:t>债权期望报酬率是企业债务融资的</w:t>
      </w:r>
      <w:r w:rsidR="00856D10" w:rsidRPr="008243EA">
        <w:rPr>
          <w:rFonts w:ascii="Times New Roman" w:hAnsi="Times New Roman"/>
          <w:spacing w:val="0"/>
          <w:sz w:val="32"/>
          <w:szCs w:val="32"/>
        </w:rPr>
        <w:t>资本成本，一般可以通过以下几种途径确定：</w:t>
      </w:r>
    </w:p>
    <w:p w14:paraId="2FBD2CE3" w14:textId="7194B58D" w:rsidR="00666651" w:rsidRPr="008243EA" w:rsidRDefault="00666651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（一）参考全国银行间同业拆借中心公布的贷款市场报价利率（</w:t>
      </w:r>
      <w:r w:rsidRPr="008243EA">
        <w:rPr>
          <w:rFonts w:ascii="Times New Roman" w:hAnsi="Times New Roman"/>
          <w:spacing w:val="0"/>
          <w:sz w:val="32"/>
          <w:szCs w:val="32"/>
        </w:rPr>
        <w:t>LPR</w:t>
      </w:r>
      <w:r w:rsidRPr="008243EA">
        <w:rPr>
          <w:rFonts w:ascii="Times New Roman" w:hAnsi="Times New Roman"/>
          <w:spacing w:val="0"/>
          <w:sz w:val="32"/>
          <w:szCs w:val="32"/>
        </w:rPr>
        <w:t>）；</w:t>
      </w:r>
    </w:p>
    <w:p w14:paraId="72FB4C1D" w14:textId="6A24F107" w:rsidR="00856D10" w:rsidRPr="008243EA" w:rsidRDefault="00856D10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</w:t>
      </w:r>
      <w:r w:rsidR="00666651" w:rsidRPr="008243EA">
        <w:rPr>
          <w:rFonts w:ascii="Times New Roman" w:hAnsi="Times New Roman"/>
          <w:spacing w:val="0"/>
          <w:sz w:val="32"/>
          <w:szCs w:val="32"/>
        </w:rPr>
        <w:t>二</w:t>
      </w:r>
      <w:r w:rsidRPr="008243EA">
        <w:rPr>
          <w:rFonts w:ascii="Times New Roman" w:hAnsi="Times New Roman"/>
          <w:spacing w:val="0"/>
          <w:sz w:val="32"/>
          <w:szCs w:val="32"/>
        </w:rPr>
        <w:t>）企业债务的实际利率，前提是其利率水平与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t>市场</w:t>
      </w:r>
      <w:r w:rsidR="00D6759E" w:rsidRPr="008243EA">
        <w:rPr>
          <w:rFonts w:ascii="Times New Roman" w:hAnsi="Times New Roman"/>
          <w:spacing w:val="0"/>
          <w:sz w:val="32"/>
          <w:szCs w:val="32"/>
        </w:rPr>
        <w:lastRenderedPageBreak/>
        <w:t>利率</w:t>
      </w:r>
      <w:r w:rsidRPr="008243EA">
        <w:rPr>
          <w:rFonts w:ascii="Times New Roman" w:hAnsi="Times New Roman"/>
          <w:spacing w:val="0"/>
          <w:sz w:val="32"/>
          <w:szCs w:val="32"/>
        </w:rPr>
        <w:t>不存在较大偏差</w:t>
      </w:r>
      <w:r w:rsidR="00576D47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0E136837" w14:textId="263F9AA5" w:rsidR="003E19CE" w:rsidRPr="008243EA" w:rsidRDefault="000C47B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b/>
          <w:spacing w:val="0"/>
          <w:sz w:val="32"/>
          <w:szCs w:val="32"/>
        </w:rPr>
        <w:t>第</w:t>
      </w:r>
      <w:r w:rsidR="004B6F00" w:rsidRPr="008243EA">
        <w:rPr>
          <w:rFonts w:ascii="Times New Roman" w:hAnsi="Times New Roman"/>
          <w:b/>
          <w:spacing w:val="0"/>
          <w:sz w:val="32"/>
          <w:szCs w:val="32"/>
        </w:rPr>
        <w:t>二十</w:t>
      </w:r>
      <w:r w:rsidR="00D6759E" w:rsidRPr="008243EA">
        <w:rPr>
          <w:rFonts w:ascii="Times New Roman" w:hAnsi="Times New Roman"/>
          <w:b/>
          <w:spacing w:val="0"/>
          <w:sz w:val="32"/>
          <w:szCs w:val="32"/>
        </w:rPr>
        <w:t>四</w:t>
      </w:r>
      <w:r w:rsidRPr="008243EA">
        <w:rPr>
          <w:rFonts w:ascii="Times New Roman" w:hAnsi="Times New Roman"/>
          <w:b/>
          <w:spacing w:val="0"/>
          <w:sz w:val="32"/>
          <w:szCs w:val="32"/>
        </w:rPr>
        <w:t>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债权比例和股权比例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根据</w:t>
      </w:r>
      <w:r w:rsidR="00195EEC" w:rsidRPr="008243EA">
        <w:rPr>
          <w:rFonts w:ascii="Times New Roman" w:hAnsi="Times New Roman"/>
          <w:spacing w:val="0"/>
          <w:sz w:val="32"/>
          <w:szCs w:val="32"/>
        </w:rPr>
        <w:t>企业的资本结构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确定</w:t>
      </w:r>
      <w:r w:rsidR="00195EEC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折现率计算中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建议采用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债权和股权的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市场价值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计算</w:t>
      </w:r>
      <w:r w:rsidR="00893569" w:rsidRPr="008243EA">
        <w:rPr>
          <w:rFonts w:ascii="Times New Roman" w:hAnsi="Times New Roman"/>
          <w:spacing w:val="0"/>
          <w:sz w:val="32"/>
          <w:szCs w:val="32"/>
        </w:rPr>
        <w:t>其各自比例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，</w:t>
      </w:r>
      <w:r w:rsidR="004F4E7A" w:rsidRPr="008243EA">
        <w:rPr>
          <w:rFonts w:ascii="Times New Roman" w:hAnsi="Times New Roman"/>
          <w:spacing w:val="0"/>
          <w:sz w:val="32"/>
          <w:szCs w:val="32"/>
        </w:rPr>
        <w:t>资本结构</w:t>
      </w:r>
      <w:r w:rsidR="00367103" w:rsidRPr="008243EA">
        <w:rPr>
          <w:rFonts w:ascii="Times New Roman" w:hAnsi="Times New Roman"/>
          <w:spacing w:val="0"/>
          <w:sz w:val="32"/>
          <w:szCs w:val="32"/>
        </w:rPr>
        <w:t>一般可以通过以下几种途径确定：</w:t>
      </w:r>
    </w:p>
    <w:p w14:paraId="0B7B2B72" w14:textId="36522CD0" w:rsidR="00367103" w:rsidRPr="008243EA" w:rsidRDefault="00367103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（一）</w:t>
      </w:r>
      <w:r w:rsidR="0075220F" w:rsidRPr="008243EA">
        <w:rPr>
          <w:rFonts w:ascii="Times New Roman" w:hAnsi="Times New Roman"/>
          <w:spacing w:val="0"/>
          <w:sz w:val="32"/>
          <w:szCs w:val="32"/>
        </w:rPr>
        <w:t>采用被评估企业</w:t>
      </w:r>
      <w:r w:rsidR="00195EEC" w:rsidRPr="008243EA">
        <w:rPr>
          <w:rFonts w:ascii="Times New Roman" w:hAnsi="Times New Roman"/>
          <w:spacing w:val="0"/>
          <w:sz w:val="32"/>
          <w:szCs w:val="32"/>
        </w:rPr>
        <w:t>真实</w:t>
      </w:r>
      <w:r w:rsidR="0075220F" w:rsidRPr="008243EA">
        <w:rPr>
          <w:rFonts w:ascii="Times New Roman" w:hAnsi="Times New Roman"/>
          <w:spacing w:val="0"/>
          <w:sz w:val="32"/>
          <w:szCs w:val="32"/>
        </w:rPr>
        <w:t>的资本结构比例</w:t>
      </w:r>
      <w:r w:rsidR="00195EEC" w:rsidRPr="008243EA">
        <w:rPr>
          <w:rFonts w:ascii="Times New Roman" w:hAnsi="Times New Roman"/>
          <w:spacing w:val="0"/>
          <w:sz w:val="32"/>
          <w:szCs w:val="32"/>
        </w:rPr>
        <w:t>，前提是企业发展趋于稳定</w:t>
      </w:r>
      <w:r w:rsidR="0075220F" w:rsidRPr="008243EA">
        <w:rPr>
          <w:rFonts w:ascii="Times New Roman" w:hAnsi="Times New Roman"/>
          <w:spacing w:val="0"/>
          <w:sz w:val="32"/>
          <w:szCs w:val="32"/>
        </w:rPr>
        <w:t>；</w:t>
      </w:r>
    </w:p>
    <w:p w14:paraId="2975C3B5" w14:textId="537EA211" w:rsidR="00734312" w:rsidRPr="008243EA" w:rsidRDefault="0075220F" w:rsidP="008243E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8243EA">
        <w:rPr>
          <w:rFonts w:ascii="Times New Roman" w:hAnsi="Times New Roman"/>
          <w:spacing w:val="0"/>
          <w:sz w:val="32"/>
          <w:szCs w:val="32"/>
        </w:rPr>
        <w:t>（二）</w:t>
      </w:r>
      <w:r w:rsidR="00195EEC" w:rsidRPr="008243EA">
        <w:rPr>
          <w:rFonts w:ascii="Times New Roman" w:hAnsi="Times New Roman"/>
          <w:spacing w:val="0"/>
          <w:sz w:val="32"/>
          <w:szCs w:val="32"/>
        </w:rPr>
        <w:t>采用目标资本结构或者最优资本结构，取值可以参考可比公司或者行业资本结构水平。</w:t>
      </w:r>
    </w:p>
    <w:p w14:paraId="03494D6F" w14:textId="6216918A" w:rsidR="00EC5EAE" w:rsidRPr="008243EA" w:rsidRDefault="00D6759E" w:rsidP="008243EA">
      <w:pPr>
        <w:autoSpaceDE/>
        <w:autoSpaceDN/>
        <w:adjustRightInd/>
        <w:snapToGrid/>
        <w:spacing w:beforeLines="100" w:before="312" w:afterLines="100" w:after="312" w:line="620" w:lineRule="atLeast"/>
        <w:jc w:val="center"/>
        <w:outlineLvl w:val="1"/>
        <w:rPr>
          <w:rFonts w:ascii="黑体" w:eastAsia="黑体" w:hAnsi="黑体"/>
          <w:spacing w:val="0"/>
          <w:sz w:val="32"/>
          <w:szCs w:val="32"/>
        </w:rPr>
      </w:pPr>
      <w:r w:rsidRPr="008243EA">
        <w:rPr>
          <w:rFonts w:ascii="黑体" w:eastAsia="黑体" w:hAnsi="黑体" w:hint="eastAsia"/>
          <w:spacing w:val="0"/>
          <w:sz w:val="32"/>
          <w:szCs w:val="32"/>
        </w:rPr>
        <w:t>第七章</w:t>
      </w:r>
      <w:r w:rsidRPr="008243EA">
        <w:rPr>
          <w:rFonts w:ascii="黑体" w:eastAsia="黑体" w:hAnsi="黑体"/>
          <w:spacing w:val="0"/>
          <w:sz w:val="32"/>
          <w:szCs w:val="32"/>
        </w:rPr>
        <w:t xml:space="preserve"> </w:t>
      </w:r>
      <w:r w:rsidRPr="008243EA">
        <w:rPr>
          <w:rFonts w:ascii="黑体" w:eastAsia="黑体" w:hAnsi="黑体" w:hint="eastAsia"/>
          <w:spacing w:val="0"/>
          <w:sz w:val="32"/>
          <w:szCs w:val="32"/>
        </w:rPr>
        <w:t>披露要求</w:t>
      </w:r>
    </w:p>
    <w:p w14:paraId="30DD016A" w14:textId="7C04ED40" w:rsidR="007C6FF2" w:rsidRPr="008243EA" w:rsidRDefault="00D6759E" w:rsidP="000A225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0A225A">
        <w:rPr>
          <w:rFonts w:ascii="Times New Roman" w:hAnsi="Times New Roman"/>
          <w:b/>
          <w:spacing w:val="0"/>
          <w:sz w:val="32"/>
          <w:szCs w:val="32"/>
        </w:rPr>
        <w:t>第二十五条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BC7106" w:rsidRPr="008243EA">
        <w:rPr>
          <w:rFonts w:ascii="Times New Roman" w:hAnsi="Times New Roman"/>
          <w:spacing w:val="0"/>
          <w:sz w:val="32"/>
          <w:szCs w:val="32"/>
        </w:rPr>
        <w:t>评估报告中应当披露折现率计算</w:t>
      </w:r>
      <w:bookmarkStart w:id="5" w:name="_Hlk56168509"/>
      <w:r w:rsidR="00BC7106" w:rsidRPr="008243EA">
        <w:rPr>
          <w:rFonts w:ascii="Times New Roman" w:hAnsi="Times New Roman"/>
          <w:spacing w:val="0"/>
          <w:sz w:val="32"/>
          <w:szCs w:val="32"/>
        </w:rPr>
        <w:t>采用的模型及各参数</w:t>
      </w:r>
      <w:bookmarkEnd w:id="5"/>
      <w:r w:rsidR="00BC7106" w:rsidRPr="008243EA">
        <w:rPr>
          <w:rFonts w:ascii="Times New Roman" w:hAnsi="Times New Roman"/>
          <w:spacing w:val="0"/>
          <w:sz w:val="32"/>
          <w:szCs w:val="32"/>
        </w:rPr>
        <w:t>的确定方法。</w:t>
      </w:r>
    </w:p>
    <w:p w14:paraId="640EA151" w14:textId="4590D4F0" w:rsidR="00BC7106" w:rsidRPr="008243EA" w:rsidRDefault="00BC7106" w:rsidP="000A225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0A225A">
        <w:rPr>
          <w:rFonts w:ascii="Times New Roman" w:hAnsi="Times New Roman"/>
          <w:b/>
          <w:spacing w:val="0"/>
          <w:sz w:val="32"/>
          <w:szCs w:val="32"/>
        </w:rPr>
        <w:t>第二十六条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引用相关专家学者、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专业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机构或者数据平台发布的数据作为参数值的，评估报告中应当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详细、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清晰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地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披露数据来源及查询方法，做到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引用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参数</w:t>
      </w:r>
      <w:r w:rsidR="005B3FE4" w:rsidRPr="008243EA">
        <w:rPr>
          <w:rFonts w:ascii="Times New Roman" w:hAnsi="Times New Roman"/>
          <w:spacing w:val="0"/>
          <w:sz w:val="32"/>
          <w:szCs w:val="32"/>
        </w:rPr>
        <w:t>的来源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可</w:t>
      </w:r>
      <w:r w:rsidR="005B3FE4" w:rsidRPr="008243EA">
        <w:rPr>
          <w:rFonts w:ascii="Times New Roman" w:hAnsi="Times New Roman"/>
          <w:spacing w:val="0"/>
          <w:sz w:val="32"/>
          <w:szCs w:val="32"/>
        </w:rPr>
        <w:t>追溯</w:t>
      </w:r>
      <w:r w:rsidR="004C37E5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6EFDEE35" w14:textId="563F6741" w:rsidR="004C37E5" w:rsidRPr="008243EA" w:rsidRDefault="004C37E5" w:rsidP="000A225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0A225A">
        <w:rPr>
          <w:rFonts w:ascii="Times New Roman" w:hAnsi="Times New Roman"/>
          <w:b/>
          <w:spacing w:val="0"/>
          <w:sz w:val="32"/>
          <w:szCs w:val="32"/>
        </w:rPr>
        <w:t>第二十七条</w:t>
      </w:r>
      <w:r w:rsidRPr="000A225A">
        <w:rPr>
          <w:rFonts w:ascii="Times New Roman" w:hAnsi="Times New Roman"/>
          <w:b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通过市场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公开</w:t>
      </w:r>
      <w:r w:rsidRPr="008243EA">
        <w:rPr>
          <w:rFonts w:ascii="Times New Roman" w:hAnsi="Times New Roman"/>
          <w:spacing w:val="0"/>
          <w:sz w:val="32"/>
          <w:szCs w:val="32"/>
        </w:rPr>
        <w:t>数据计算得到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ERP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、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β</w:t>
      </w:r>
      <w:r w:rsidR="00344F0D" w:rsidRPr="008243EA">
        <w:rPr>
          <w:rFonts w:ascii="Times New Roman" w:hAnsi="Times New Roman"/>
          <w:spacing w:val="0"/>
          <w:sz w:val="32"/>
          <w:szCs w:val="32"/>
        </w:rPr>
        <w:t>系数、规模溢价等</w:t>
      </w:r>
      <w:r w:rsidRPr="008243EA">
        <w:rPr>
          <w:rFonts w:ascii="Times New Roman" w:hAnsi="Times New Roman"/>
          <w:spacing w:val="0"/>
          <w:sz w:val="32"/>
          <w:szCs w:val="32"/>
        </w:rPr>
        <w:t>参数值的，评估报告中应当明确披露样本选取的</w:t>
      </w:r>
      <w:r w:rsidR="009A67EE" w:rsidRPr="008243EA">
        <w:rPr>
          <w:rFonts w:ascii="Times New Roman" w:hAnsi="Times New Roman"/>
          <w:spacing w:val="0"/>
          <w:sz w:val="32"/>
          <w:szCs w:val="32"/>
        </w:rPr>
        <w:t>数据</w:t>
      </w:r>
      <w:r w:rsidRPr="008243EA">
        <w:rPr>
          <w:rFonts w:ascii="Times New Roman" w:hAnsi="Times New Roman"/>
          <w:spacing w:val="0"/>
          <w:sz w:val="32"/>
          <w:szCs w:val="32"/>
        </w:rPr>
        <w:t>范围</w:t>
      </w:r>
      <w:r w:rsidR="00920752" w:rsidRPr="008243EA">
        <w:rPr>
          <w:rFonts w:ascii="Times New Roman" w:hAnsi="Times New Roman"/>
          <w:spacing w:val="0"/>
          <w:sz w:val="32"/>
          <w:szCs w:val="32"/>
        </w:rPr>
        <w:t>及</w:t>
      </w:r>
      <w:r w:rsidRPr="008243EA">
        <w:rPr>
          <w:rFonts w:ascii="Times New Roman" w:hAnsi="Times New Roman"/>
          <w:spacing w:val="0"/>
          <w:sz w:val="32"/>
          <w:szCs w:val="32"/>
        </w:rPr>
        <w:t>计算方法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，做到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参数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计算</w:t>
      </w:r>
      <w:r w:rsidR="005B3FE4" w:rsidRPr="008243EA">
        <w:rPr>
          <w:rFonts w:ascii="Times New Roman" w:hAnsi="Times New Roman"/>
          <w:spacing w:val="0"/>
          <w:sz w:val="32"/>
          <w:szCs w:val="32"/>
        </w:rPr>
        <w:t>的结果</w:t>
      </w:r>
      <w:r w:rsidR="00EE06DB" w:rsidRPr="008243EA">
        <w:rPr>
          <w:rFonts w:ascii="Times New Roman" w:hAnsi="Times New Roman"/>
          <w:spacing w:val="0"/>
          <w:sz w:val="32"/>
          <w:szCs w:val="32"/>
        </w:rPr>
        <w:t>可</w:t>
      </w:r>
      <w:r w:rsidR="005B3FE4" w:rsidRPr="008243EA">
        <w:rPr>
          <w:rFonts w:ascii="Times New Roman" w:hAnsi="Times New Roman"/>
          <w:spacing w:val="0"/>
          <w:sz w:val="32"/>
          <w:szCs w:val="32"/>
        </w:rPr>
        <w:t>复核</w:t>
      </w:r>
      <w:r w:rsidR="00920752" w:rsidRPr="008243EA">
        <w:rPr>
          <w:rFonts w:ascii="Times New Roman" w:hAnsi="Times New Roman"/>
          <w:spacing w:val="0"/>
          <w:sz w:val="32"/>
          <w:szCs w:val="32"/>
        </w:rPr>
        <w:t>。</w:t>
      </w:r>
    </w:p>
    <w:p w14:paraId="57FB8056" w14:textId="5AFFB43E" w:rsidR="00E4448D" w:rsidRPr="008243EA" w:rsidRDefault="00E4448D" w:rsidP="000A225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0A225A">
        <w:rPr>
          <w:rFonts w:ascii="Times New Roman" w:hAnsi="Times New Roman"/>
          <w:b/>
          <w:spacing w:val="0"/>
          <w:sz w:val="32"/>
          <w:szCs w:val="32"/>
        </w:rPr>
        <w:t>第二十八条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通过经验判断等主观分析方法得到参数值的，评估报告中应当具体披露分析</w:t>
      </w:r>
      <w:r w:rsidR="009A67EE" w:rsidRPr="008243EA">
        <w:rPr>
          <w:rFonts w:ascii="Times New Roman" w:hAnsi="Times New Roman"/>
          <w:spacing w:val="0"/>
          <w:sz w:val="32"/>
          <w:szCs w:val="32"/>
        </w:rPr>
        <w:t>的</w:t>
      </w:r>
      <w:r w:rsidRPr="008243EA">
        <w:rPr>
          <w:rFonts w:ascii="Times New Roman" w:hAnsi="Times New Roman"/>
          <w:spacing w:val="0"/>
          <w:sz w:val="32"/>
          <w:szCs w:val="32"/>
        </w:rPr>
        <w:t>过程及</w:t>
      </w:r>
      <w:r w:rsidR="009A67EE" w:rsidRPr="008243EA">
        <w:rPr>
          <w:rFonts w:ascii="Times New Roman" w:hAnsi="Times New Roman"/>
          <w:spacing w:val="0"/>
          <w:sz w:val="32"/>
          <w:szCs w:val="32"/>
        </w:rPr>
        <w:t>结果</w:t>
      </w:r>
      <w:r w:rsidRPr="008243EA">
        <w:rPr>
          <w:rFonts w:ascii="Times New Roman" w:hAnsi="Times New Roman"/>
          <w:spacing w:val="0"/>
          <w:sz w:val="32"/>
          <w:szCs w:val="32"/>
        </w:rPr>
        <w:t>，做到</w:t>
      </w:r>
      <w:r w:rsidR="008C7BD6" w:rsidRPr="008243EA">
        <w:rPr>
          <w:rFonts w:ascii="Times New Roman" w:hAnsi="Times New Roman"/>
          <w:spacing w:val="0"/>
          <w:sz w:val="32"/>
          <w:szCs w:val="32"/>
        </w:rPr>
        <w:t>参数分析</w:t>
      </w:r>
      <w:r w:rsidRPr="008243EA">
        <w:rPr>
          <w:rFonts w:ascii="Times New Roman" w:hAnsi="Times New Roman"/>
          <w:spacing w:val="0"/>
          <w:sz w:val="32"/>
          <w:szCs w:val="32"/>
        </w:rPr>
        <w:t>的逻辑可推理。</w:t>
      </w:r>
    </w:p>
    <w:p w14:paraId="3AD0B46B" w14:textId="28988E83" w:rsidR="009A67EE" w:rsidRPr="008243EA" w:rsidRDefault="001070FD" w:rsidP="000A225A">
      <w:pPr>
        <w:autoSpaceDE/>
        <w:autoSpaceDN/>
        <w:adjustRightInd/>
        <w:snapToGrid/>
        <w:spacing w:line="620" w:lineRule="atLeast"/>
        <w:ind w:firstLineChars="200" w:firstLine="640"/>
        <w:rPr>
          <w:rFonts w:ascii="Times New Roman" w:hAnsi="Times New Roman"/>
          <w:spacing w:val="0"/>
          <w:sz w:val="32"/>
          <w:szCs w:val="32"/>
        </w:rPr>
      </w:pPr>
      <w:r w:rsidRPr="000A225A">
        <w:rPr>
          <w:rFonts w:ascii="Times New Roman" w:hAnsi="Times New Roman"/>
          <w:b/>
          <w:spacing w:val="0"/>
          <w:sz w:val="32"/>
          <w:szCs w:val="32"/>
        </w:rPr>
        <w:t>第二十九条</w:t>
      </w:r>
      <w:r w:rsidRPr="008243EA">
        <w:rPr>
          <w:rFonts w:ascii="Times New Roman" w:hAnsi="Times New Roman"/>
          <w:spacing w:val="0"/>
          <w:sz w:val="32"/>
          <w:szCs w:val="32"/>
        </w:rPr>
        <w:t xml:space="preserve"> </w:t>
      </w:r>
      <w:r w:rsidRPr="008243EA">
        <w:rPr>
          <w:rFonts w:ascii="Times New Roman" w:hAnsi="Times New Roman"/>
          <w:spacing w:val="0"/>
          <w:sz w:val="32"/>
          <w:szCs w:val="32"/>
        </w:rPr>
        <w:t>对</w:t>
      </w:r>
      <w:r w:rsidR="00182F08" w:rsidRPr="008243EA">
        <w:rPr>
          <w:rFonts w:ascii="Times New Roman" w:hAnsi="Times New Roman"/>
          <w:spacing w:val="0"/>
          <w:sz w:val="32"/>
          <w:szCs w:val="32"/>
        </w:rPr>
        <w:t>存在</w:t>
      </w:r>
      <w:r w:rsidRPr="008243EA">
        <w:rPr>
          <w:rFonts w:ascii="Times New Roman" w:hAnsi="Times New Roman"/>
          <w:spacing w:val="0"/>
          <w:sz w:val="32"/>
          <w:szCs w:val="32"/>
        </w:rPr>
        <w:t>不确定性</w:t>
      </w:r>
      <w:r w:rsidR="00182F08" w:rsidRPr="008243EA">
        <w:rPr>
          <w:rFonts w:ascii="Times New Roman" w:hAnsi="Times New Roman"/>
          <w:spacing w:val="0"/>
          <w:sz w:val="32"/>
          <w:szCs w:val="32"/>
        </w:rPr>
        <w:t>因素</w:t>
      </w:r>
      <w:r w:rsidRPr="008243EA">
        <w:rPr>
          <w:rFonts w:ascii="Times New Roman" w:hAnsi="Times New Roman"/>
          <w:spacing w:val="0"/>
          <w:sz w:val="32"/>
          <w:szCs w:val="32"/>
        </w:rPr>
        <w:t>的参数，资产评估专</w:t>
      </w:r>
      <w:r w:rsidRPr="008243EA">
        <w:rPr>
          <w:rFonts w:ascii="Times New Roman" w:hAnsi="Times New Roman"/>
          <w:spacing w:val="0"/>
          <w:sz w:val="32"/>
          <w:szCs w:val="32"/>
        </w:rPr>
        <w:lastRenderedPageBreak/>
        <w:t>业人员可以通过敏感性分析等方法分析其对评估结论的影响，并在评估报告中予以披露。</w:t>
      </w:r>
    </w:p>
    <w:sectPr w:rsidR="009A67EE" w:rsidRPr="008243E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0B004" w14:textId="77777777" w:rsidR="00532B5F" w:rsidRDefault="00532B5F" w:rsidP="00980719">
      <w:pPr>
        <w:spacing w:line="240" w:lineRule="auto"/>
      </w:pPr>
      <w:r>
        <w:separator/>
      </w:r>
    </w:p>
  </w:endnote>
  <w:endnote w:type="continuationSeparator" w:id="0">
    <w:p w14:paraId="308F0E32" w14:textId="77777777" w:rsidR="00532B5F" w:rsidRDefault="00532B5F" w:rsidP="00980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eastAsiaTheme="minorEastAsia" w:hAnsiTheme="minorHAnsi" w:cstheme="minorBidi"/>
        <w:noProof/>
        <w:spacing w:val="0"/>
        <w:sz w:val="32"/>
        <w:szCs w:val="32"/>
        <w:lang w:val="zh-CN"/>
      </w:rPr>
      <w:id w:val="-1430574549"/>
      <w:docPartObj>
        <w:docPartGallery w:val="Page Numbers (Bottom of Page)"/>
        <w:docPartUnique/>
      </w:docPartObj>
    </w:sdtPr>
    <w:sdtEndPr/>
    <w:sdtContent>
      <w:p w14:paraId="2DC88EE9" w14:textId="0852138D" w:rsidR="00344F0D" w:rsidRPr="000A225A" w:rsidRDefault="00344F0D">
        <w:pPr>
          <w:pStyle w:val="a5"/>
          <w:jc w:val="center"/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</w:pPr>
        <w:r w:rsidRPr="000A225A"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  <w:fldChar w:fldCharType="begin"/>
        </w:r>
        <w:r w:rsidRPr="000A225A"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  <w:instrText>PAGE   \* MERGEFORMAT</w:instrText>
        </w:r>
        <w:r w:rsidRPr="000A225A"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  <w:fldChar w:fldCharType="separate"/>
        </w:r>
        <w:r w:rsidR="000D75EC"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  <w:t>5</w:t>
        </w:r>
        <w:r w:rsidRPr="000A225A">
          <w:rPr>
            <w:rFonts w:asciiTheme="minorHAnsi" w:eastAsiaTheme="minorEastAsia" w:hAnsiTheme="minorHAnsi" w:cstheme="minorBidi"/>
            <w:noProof/>
            <w:spacing w:val="0"/>
            <w:sz w:val="32"/>
            <w:szCs w:val="32"/>
            <w:lang w:val="zh-CN"/>
          </w:rPr>
          <w:fldChar w:fldCharType="end"/>
        </w:r>
      </w:p>
    </w:sdtContent>
  </w:sdt>
  <w:p w14:paraId="066471CA" w14:textId="77777777" w:rsidR="00344F0D" w:rsidRDefault="00344F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09AA3" w14:textId="77777777" w:rsidR="00532B5F" w:rsidRDefault="00532B5F" w:rsidP="00980719">
      <w:pPr>
        <w:spacing w:line="240" w:lineRule="auto"/>
      </w:pPr>
      <w:r>
        <w:separator/>
      </w:r>
    </w:p>
  </w:footnote>
  <w:footnote w:type="continuationSeparator" w:id="0">
    <w:p w14:paraId="3EA20D83" w14:textId="77777777" w:rsidR="00532B5F" w:rsidRDefault="00532B5F" w:rsidP="009807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76"/>
    <w:rsid w:val="0002727B"/>
    <w:rsid w:val="00032733"/>
    <w:rsid w:val="00033D80"/>
    <w:rsid w:val="00042529"/>
    <w:rsid w:val="00053CE3"/>
    <w:rsid w:val="000565B6"/>
    <w:rsid w:val="00070CD9"/>
    <w:rsid w:val="000752CE"/>
    <w:rsid w:val="00082EE8"/>
    <w:rsid w:val="000875F4"/>
    <w:rsid w:val="000954DE"/>
    <w:rsid w:val="00095826"/>
    <w:rsid w:val="000972F4"/>
    <w:rsid w:val="000A225A"/>
    <w:rsid w:val="000B3A5A"/>
    <w:rsid w:val="000C3E3A"/>
    <w:rsid w:val="000C47BF"/>
    <w:rsid w:val="000C63B8"/>
    <w:rsid w:val="000D4501"/>
    <w:rsid w:val="000D75EC"/>
    <w:rsid w:val="00100910"/>
    <w:rsid w:val="001044AF"/>
    <w:rsid w:val="001070FD"/>
    <w:rsid w:val="00115BA5"/>
    <w:rsid w:val="00116829"/>
    <w:rsid w:val="001259C1"/>
    <w:rsid w:val="00127A66"/>
    <w:rsid w:val="00136FE3"/>
    <w:rsid w:val="00140EB3"/>
    <w:rsid w:val="00141495"/>
    <w:rsid w:val="001517DF"/>
    <w:rsid w:val="00151DF0"/>
    <w:rsid w:val="00160C29"/>
    <w:rsid w:val="00182F08"/>
    <w:rsid w:val="0018745E"/>
    <w:rsid w:val="00195EEC"/>
    <w:rsid w:val="001972F1"/>
    <w:rsid w:val="001A7F5E"/>
    <w:rsid w:val="001B76C8"/>
    <w:rsid w:val="001D734E"/>
    <w:rsid w:val="001E16C2"/>
    <w:rsid w:val="00214298"/>
    <w:rsid w:val="00222E69"/>
    <w:rsid w:val="002277B9"/>
    <w:rsid w:val="00230037"/>
    <w:rsid w:val="00243ED2"/>
    <w:rsid w:val="00244B3E"/>
    <w:rsid w:val="0025272C"/>
    <w:rsid w:val="00264F63"/>
    <w:rsid w:val="00267403"/>
    <w:rsid w:val="002738BC"/>
    <w:rsid w:val="002A29CB"/>
    <w:rsid w:val="002A766F"/>
    <w:rsid w:val="002C03C9"/>
    <w:rsid w:val="002C46F9"/>
    <w:rsid w:val="002F7EAF"/>
    <w:rsid w:val="00302329"/>
    <w:rsid w:val="003064E7"/>
    <w:rsid w:val="00320AA9"/>
    <w:rsid w:val="0033459E"/>
    <w:rsid w:val="00334AEB"/>
    <w:rsid w:val="00334AF2"/>
    <w:rsid w:val="00342E68"/>
    <w:rsid w:val="00344F0D"/>
    <w:rsid w:val="0034640B"/>
    <w:rsid w:val="00347270"/>
    <w:rsid w:val="00350042"/>
    <w:rsid w:val="00364D9B"/>
    <w:rsid w:val="00367103"/>
    <w:rsid w:val="00377A7B"/>
    <w:rsid w:val="0038230E"/>
    <w:rsid w:val="00386DC0"/>
    <w:rsid w:val="003A2048"/>
    <w:rsid w:val="003A2D5A"/>
    <w:rsid w:val="003A5512"/>
    <w:rsid w:val="003A6211"/>
    <w:rsid w:val="003B24A2"/>
    <w:rsid w:val="003D1606"/>
    <w:rsid w:val="003E0A10"/>
    <w:rsid w:val="003E19CE"/>
    <w:rsid w:val="003E7401"/>
    <w:rsid w:val="003E74F8"/>
    <w:rsid w:val="00405C48"/>
    <w:rsid w:val="004144B3"/>
    <w:rsid w:val="004164F3"/>
    <w:rsid w:val="0043259D"/>
    <w:rsid w:val="00434E8C"/>
    <w:rsid w:val="004510F0"/>
    <w:rsid w:val="0045614D"/>
    <w:rsid w:val="00462BCF"/>
    <w:rsid w:val="00476847"/>
    <w:rsid w:val="00482EE3"/>
    <w:rsid w:val="00484CC2"/>
    <w:rsid w:val="00491865"/>
    <w:rsid w:val="00492B86"/>
    <w:rsid w:val="004A52CD"/>
    <w:rsid w:val="004B0A1A"/>
    <w:rsid w:val="004B5CC5"/>
    <w:rsid w:val="004B6F00"/>
    <w:rsid w:val="004C37E5"/>
    <w:rsid w:val="004E43D4"/>
    <w:rsid w:val="004F4E7A"/>
    <w:rsid w:val="00510AB2"/>
    <w:rsid w:val="00515FEA"/>
    <w:rsid w:val="00525E88"/>
    <w:rsid w:val="00532B5F"/>
    <w:rsid w:val="00534554"/>
    <w:rsid w:val="00535C46"/>
    <w:rsid w:val="005409E7"/>
    <w:rsid w:val="005541D0"/>
    <w:rsid w:val="00562880"/>
    <w:rsid w:val="00565419"/>
    <w:rsid w:val="0057214B"/>
    <w:rsid w:val="00576D47"/>
    <w:rsid w:val="00592E56"/>
    <w:rsid w:val="0059644A"/>
    <w:rsid w:val="005974C2"/>
    <w:rsid w:val="005A2FAB"/>
    <w:rsid w:val="005B3FE4"/>
    <w:rsid w:val="005B7AA1"/>
    <w:rsid w:val="005C16BA"/>
    <w:rsid w:val="005D792C"/>
    <w:rsid w:val="005E7646"/>
    <w:rsid w:val="006117FE"/>
    <w:rsid w:val="00656DC9"/>
    <w:rsid w:val="00660C73"/>
    <w:rsid w:val="00666651"/>
    <w:rsid w:val="0067799A"/>
    <w:rsid w:val="00677B26"/>
    <w:rsid w:val="00677DFE"/>
    <w:rsid w:val="0068352A"/>
    <w:rsid w:val="006902BB"/>
    <w:rsid w:val="00693245"/>
    <w:rsid w:val="00694A90"/>
    <w:rsid w:val="006A656E"/>
    <w:rsid w:val="006A6908"/>
    <w:rsid w:val="006B43BE"/>
    <w:rsid w:val="006B491A"/>
    <w:rsid w:val="006B6876"/>
    <w:rsid w:val="006C01F1"/>
    <w:rsid w:val="006D0AD0"/>
    <w:rsid w:val="006D29F2"/>
    <w:rsid w:val="006E5B47"/>
    <w:rsid w:val="00701DC2"/>
    <w:rsid w:val="007027C9"/>
    <w:rsid w:val="00706F78"/>
    <w:rsid w:val="00707B52"/>
    <w:rsid w:val="00715083"/>
    <w:rsid w:val="007200E0"/>
    <w:rsid w:val="007249C6"/>
    <w:rsid w:val="007329B4"/>
    <w:rsid w:val="00734312"/>
    <w:rsid w:val="00734F23"/>
    <w:rsid w:val="00736EB3"/>
    <w:rsid w:val="00737CB4"/>
    <w:rsid w:val="00740FDA"/>
    <w:rsid w:val="00742406"/>
    <w:rsid w:val="00747A9E"/>
    <w:rsid w:val="0075220F"/>
    <w:rsid w:val="007561C2"/>
    <w:rsid w:val="007726BD"/>
    <w:rsid w:val="00772941"/>
    <w:rsid w:val="00775147"/>
    <w:rsid w:val="00783064"/>
    <w:rsid w:val="0078650A"/>
    <w:rsid w:val="007922F7"/>
    <w:rsid w:val="00795078"/>
    <w:rsid w:val="007A7D5F"/>
    <w:rsid w:val="007B163E"/>
    <w:rsid w:val="007C6FF2"/>
    <w:rsid w:val="007D35CF"/>
    <w:rsid w:val="007E0369"/>
    <w:rsid w:val="007E4555"/>
    <w:rsid w:val="007F2A2D"/>
    <w:rsid w:val="00803E86"/>
    <w:rsid w:val="00811054"/>
    <w:rsid w:val="00811F20"/>
    <w:rsid w:val="00814494"/>
    <w:rsid w:val="00816B43"/>
    <w:rsid w:val="008243EA"/>
    <w:rsid w:val="00824F27"/>
    <w:rsid w:val="008260BF"/>
    <w:rsid w:val="008266B8"/>
    <w:rsid w:val="00827097"/>
    <w:rsid w:val="00836714"/>
    <w:rsid w:val="008374CA"/>
    <w:rsid w:val="0085034A"/>
    <w:rsid w:val="00856D10"/>
    <w:rsid w:val="0087065D"/>
    <w:rsid w:val="00883F62"/>
    <w:rsid w:val="00892984"/>
    <w:rsid w:val="00893569"/>
    <w:rsid w:val="00894205"/>
    <w:rsid w:val="008A37D7"/>
    <w:rsid w:val="008C5D38"/>
    <w:rsid w:val="008C7BD6"/>
    <w:rsid w:val="008D250E"/>
    <w:rsid w:val="008E79BA"/>
    <w:rsid w:val="008F0352"/>
    <w:rsid w:val="008F1CCD"/>
    <w:rsid w:val="008F7724"/>
    <w:rsid w:val="00902469"/>
    <w:rsid w:val="009067B1"/>
    <w:rsid w:val="00914700"/>
    <w:rsid w:val="00920752"/>
    <w:rsid w:val="00924AAC"/>
    <w:rsid w:val="009422E9"/>
    <w:rsid w:val="0094313F"/>
    <w:rsid w:val="009441A0"/>
    <w:rsid w:val="00945CEE"/>
    <w:rsid w:val="00966C3C"/>
    <w:rsid w:val="00967754"/>
    <w:rsid w:val="0097172B"/>
    <w:rsid w:val="00973F36"/>
    <w:rsid w:val="00976304"/>
    <w:rsid w:val="00980719"/>
    <w:rsid w:val="00992915"/>
    <w:rsid w:val="009A0219"/>
    <w:rsid w:val="009A67EE"/>
    <w:rsid w:val="009B0308"/>
    <w:rsid w:val="009B0659"/>
    <w:rsid w:val="009C01F4"/>
    <w:rsid w:val="009D3056"/>
    <w:rsid w:val="009E1800"/>
    <w:rsid w:val="009F5A0B"/>
    <w:rsid w:val="009F6B80"/>
    <w:rsid w:val="00A06E68"/>
    <w:rsid w:val="00A07F08"/>
    <w:rsid w:val="00A164FC"/>
    <w:rsid w:val="00A43C0C"/>
    <w:rsid w:val="00A54D03"/>
    <w:rsid w:val="00A66B9F"/>
    <w:rsid w:val="00A6787C"/>
    <w:rsid w:val="00A72A31"/>
    <w:rsid w:val="00A80A1D"/>
    <w:rsid w:val="00A8228D"/>
    <w:rsid w:val="00A835C0"/>
    <w:rsid w:val="00AA2D8D"/>
    <w:rsid w:val="00AB00BF"/>
    <w:rsid w:val="00AB2203"/>
    <w:rsid w:val="00AB4EA4"/>
    <w:rsid w:val="00AC1039"/>
    <w:rsid w:val="00AC7ECC"/>
    <w:rsid w:val="00AD66EA"/>
    <w:rsid w:val="00AE0398"/>
    <w:rsid w:val="00AE603D"/>
    <w:rsid w:val="00AF14E4"/>
    <w:rsid w:val="00AF2895"/>
    <w:rsid w:val="00B007A3"/>
    <w:rsid w:val="00B17984"/>
    <w:rsid w:val="00B221DE"/>
    <w:rsid w:val="00B2458E"/>
    <w:rsid w:val="00B3003A"/>
    <w:rsid w:val="00B45E2C"/>
    <w:rsid w:val="00B51C6D"/>
    <w:rsid w:val="00B6205B"/>
    <w:rsid w:val="00B62E92"/>
    <w:rsid w:val="00B71C73"/>
    <w:rsid w:val="00BA08BE"/>
    <w:rsid w:val="00BA1CBC"/>
    <w:rsid w:val="00BB19DF"/>
    <w:rsid w:val="00BC10C0"/>
    <w:rsid w:val="00BC7106"/>
    <w:rsid w:val="00BD5D82"/>
    <w:rsid w:val="00BE2500"/>
    <w:rsid w:val="00BF32F8"/>
    <w:rsid w:val="00C17495"/>
    <w:rsid w:val="00C266D8"/>
    <w:rsid w:val="00C26AE1"/>
    <w:rsid w:val="00C35FE3"/>
    <w:rsid w:val="00C42BD4"/>
    <w:rsid w:val="00C430D9"/>
    <w:rsid w:val="00C4486D"/>
    <w:rsid w:val="00C45BF3"/>
    <w:rsid w:val="00C53653"/>
    <w:rsid w:val="00C5775D"/>
    <w:rsid w:val="00C60F62"/>
    <w:rsid w:val="00C81519"/>
    <w:rsid w:val="00C91FE4"/>
    <w:rsid w:val="00CA258D"/>
    <w:rsid w:val="00CA4639"/>
    <w:rsid w:val="00CA4993"/>
    <w:rsid w:val="00CA4AD7"/>
    <w:rsid w:val="00CB231D"/>
    <w:rsid w:val="00CB779C"/>
    <w:rsid w:val="00CC1E30"/>
    <w:rsid w:val="00CC3139"/>
    <w:rsid w:val="00CD0684"/>
    <w:rsid w:val="00CD678F"/>
    <w:rsid w:val="00CE4147"/>
    <w:rsid w:val="00D05710"/>
    <w:rsid w:val="00D071A8"/>
    <w:rsid w:val="00D141A0"/>
    <w:rsid w:val="00D17053"/>
    <w:rsid w:val="00D26B7C"/>
    <w:rsid w:val="00D31634"/>
    <w:rsid w:val="00D31B24"/>
    <w:rsid w:val="00D46C13"/>
    <w:rsid w:val="00D615E8"/>
    <w:rsid w:val="00D65227"/>
    <w:rsid w:val="00D6759E"/>
    <w:rsid w:val="00D75DB5"/>
    <w:rsid w:val="00D76BCD"/>
    <w:rsid w:val="00D82839"/>
    <w:rsid w:val="00D8708E"/>
    <w:rsid w:val="00D96158"/>
    <w:rsid w:val="00DA0B96"/>
    <w:rsid w:val="00DA6EB8"/>
    <w:rsid w:val="00DB1B5F"/>
    <w:rsid w:val="00DB4392"/>
    <w:rsid w:val="00DB6B38"/>
    <w:rsid w:val="00DC2BBD"/>
    <w:rsid w:val="00DC45DE"/>
    <w:rsid w:val="00DC62AB"/>
    <w:rsid w:val="00DE46B4"/>
    <w:rsid w:val="00DF1D2A"/>
    <w:rsid w:val="00DF4577"/>
    <w:rsid w:val="00DF5AB5"/>
    <w:rsid w:val="00E17CFB"/>
    <w:rsid w:val="00E20444"/>
    <w:rsid w:val="00E20902"/>
    <w:rsid w:val="00E23183"/>
    <w:rsid w:val="00E3740E"/>
    <w:rsid w:val="00E4448D"/>
    <w:rsid w:val="00E45897"/>
    <w:rsid w:val="00E50C5C"/>
    <w:rsid w:val="00E60F97"/>
    <w:rsid w:val="00E67336"/>
    <w:rsid w:val="00E67FEC"/>
    <w:rsid w:val="00E72F77"/>
    <w:rsid w:val="00E84CCE"/>
    <w:rsid w:val="00E8795A"/>
    <w:rsid w:val="00E939CA"/>
    <w:rsid w:val="00E97DD9"/>
    <w:rsid w:val="00EA48AD"/>
    <w:rsid w:val="00EB055F"/>
    <w:rsid w:val="00EB2477"/>
    <w:rsid w:val="00EB7987"/>
    <w:rsid w:val="00EB7F3A"/>
    <w:rsid w:val="00EC5A95"/>
    <w:rsid w:val="00EC5EAE"/>
    <w:rsid w:val="00EC7609"/>
    <w:rsid w:val="00EE06DB"/>
    <w:rsid w:val="00EE1203"/>
    <w:rsid w:val="00EF09F8"/>
    <w:rsid w:val="00EF2A43"/>
    <w:rsid w:val="00F01E2F"/>
    <w:rsid w:val="00F02490"/>
    <w:rsid w:val="00F211F9"/>
    <w:rsid w:val="00F421C0"/>
    <w:rsid w:val="00F46AAE"/>
    <w:rsid w:val="00F46CA0"/>
    <w:rsid w:val="00F529C8"/>
    <w:rsid w:val="00F74467"/>
    <w:rsid w:val="00F75C3A"/>
    <w:rsid w:val="00FA7463"/>
    <w:rsid w:val="00FB0E2F"/>
    <w:rsid w:val="00FD449D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CEB51"/>
  <w15:docId w15:val="{11B9CC1C-4900-43F7-B8BA-EEB2D91C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876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6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719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0719"/>
    <w:rPr>
      <w:rFonts w:ascii="宋体" w:eastAsia="仿宋_GB2312" w:hAnsi="宋体" w:cs="Times New Roman"/>
      <w:spacing w:val="6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071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0719"/>
    <w:rPr>
      <w:rFonts w:ascii="宋体" w:eastAsia="仿宋_GB2312" w:hAnsi="宋体" w:cs="Times New Roman"/>
      <w:spacing w:val="6"/>
      <w:sz w:val="18"/>
      <w:szCs w:val="18"/>
    </w:rPr>
  </w:style>
  <w:style w:type="character" w:styleId="a7">
    <w:name w:val="Placeholder Text"/>
    <w:basedOn w:val="a0"/>
    <w:uiPriority w:val="99"/>
    <w:semiHidden/>
    <w:rsid w:val="00E72F77"/>
    <w:rPr>
      <w:color w:val="808080"/>
    </w:rPr>
  </w:style>
  <w:style w:type="paragraph" w:styleId="a8">
    <w:name w:val="List Paragraph"/>
    <w:basedOn w:val="a"/>
    <w:uiPriority w:val="34"/>
    <w:qFormat/>
    <w:rsid w:val="00AB220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973F36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73F36"/>
    <w:rPr>
      <w:rFonts w:ascii="宋体" w:eastAsia="仿宋_GB2312" w:hAnsi="宋体" w:cs="Times New Roman"/>
      <w:spacing w:val="6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6733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6733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67336"/>
    <w:rPr>
      <w:rFonts w:ascii="宋体" w:eastAsia="仿宋_GB2312" w:hAnsi="宋体" w:cs="Times New Roman"/>
      <w:spacing w:val="6"/>
      <w:sz w:val="30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6733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67336"/>
    <w:rPr>
      <w:rFonts w:ascii="宋体" w:eastAsia="仿宋_GB2312" w:hAnsi="宋体" w:cs="Times New Roman"/>
      <w:b/>
      <w:bCs/>
      <w:spacing w:val="6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891E6-3406-4B58-A5AF-0760678D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殷霞</dc:creator>
  <cp:lastModifiedBy>m lz</cp:lastModifiedBy>
  <cp:revision>2</cp:revision>
  <dcterms:created xsi:type="dcterms:W3CDTF">2020-12-03T02:24:00Z</dcterms:created>
  <dcterms:modified xsi:type="dcterms:W3CDTF">2020-12-03T02:24:00Z</dcterms:modified>
</cp:coreProperties>
</file>