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360" w:lineRule="auto"/>
        <w:ind w:left="0" w:right="840" w:rightChars="400"/>
        <w:jc w:val="left"/>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附件</w:t>
      </w:r>
    </w:p>
    <w:p>
      <w:pPr>
        <w:pStyle w:val="2"/>
        <w:widowControl/>
        <w:snapToGrid w:val="0"/>
        <w:spacing w:line="240" w:lineRule="auto"/>
        <w:ind w:left="420"/>
        <w:jc w:val="center"/>
        <w:rPr>
          <w:rFonts w:hint="eastAsia" w:ascii="华文中宋" w:hAnsi="华文中宋" w:eastAsia="华文中宋" w:cs="华文中宋"/>
          <w:lang w:val="en-US"/>
        </w:rPr>
      </w:pPr>
      <w:r>
        <w:rPr>
          <w:rFonts w:hint="eastAsia" w:ascii="华文中宋" w:hAnsi="华文中宋" w:eastAsia="华文中宋" w:cs="华文中宋"/>
          <w:lang w:eastAsia="zh-CN"/>
        </w:rPr>
        <w:t>珠宝首饰评估程序指导意见</w:t>
      </w: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仿宋_GB2312" w:eastAsia="仿宋_GB2312" w:cs="仿宋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left="0" w:right="0"/>
        <w:jc w:val="center"/>
        <w:textAlignment w:val="auto"/>
        <w:rPr>
          <w:rFonts w:hint="eastAsia" w:ascii="黑体" w:hAnsi="宋体" w:eastAsia="黑体" w:cs="黑体"/>
          <w:b/>
          <w:bCs w:val="0"/>
          <w:sz w:val="32"/>
          <w:szCs w:val="32"/>
          <w:lang w:val="en-US"/>
        </w:rPr>
      </w:pPr>
      <w:r>
        <w:rPr>
          <w:rFonts w:hint="eastAsia" w:ascii="黑体" w:hAnsi="宋体" w:eastAsia="黑体" w:cs="黑体"/>
          <w:b/>
          <w:bCs w:val="0"/>
          <w:kern w:val="2"/>
          <w:sz w:val="32"/>
          <w:szCs w:val="32"/>
          <w:lang w:val="en-US" w:eastAsia="zh-CN" w:bidi="ar"/>
        </w:rPr>
        <w:t>第一章  总则</w:t>
      </w:r>
    </w:p>
    <w:p>
      <w:pPr>
        <w:keepNext w:val="0"/>
        <w:keepLines w:val="0"/>
        <w:widowControl w:val="0"/>
        <w:suppressLineNumbers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第一条 为规范珠宝首饰评估行为，明确和完善珠宝首饰评估程序，保护资产评估当事人合法权益和公共利益，根据《资产评估执业准则——资产评估程序》和《资产评估执业准则——珠宝首饰》，制定本指导意见。</w:t>
      </w:r>
    </w:p>
    <w:p>
      <w:pPr>
        <w:keepNext w:val="0"/>
        <w:keepLines w:val="0"/>
        <w:widowControl w:val="0"/>
        <w:suppressLineNumbers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第二条 本指导意见所称珠宝首饰评估程序，是指资产评估机构及其珠宝评估专业人员遵守法律、行政法规和资产评估准则，执行珠宝首饰评估业务时所履行的专业技术性工作步骤，是对《资产评估执业准则——珠宝首饰》相关操作程序的细化。</w:t>
      </w:r>
    </w:p>
    <w:p>
      <w:pPr>
        <w:keepNext w:val="0"/>
        <w:keepLines w:val="0"/>
        <w:widowControl w:val="0"/>
        <w:suppressLineNumbers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第三条 执行珠宝首饰评估业务，应当遵守本指导意见。</w:t>
      </w:r>
    </w:p>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left="0" w:right="0"/>
        <w:jc w:val="center"/>
        <w:textAlignment w:val="auto"/>
        <w:rPr>
          <w:rFonts w:hint="eastAsia" w:ascii="黑体" w:hAnsi="宋体" w:eastAsia="黑体" w:cs="黑体"/>
          <w:b/>
          <w:bCs w:val="0"/>
          <w:kern w:val="2"/>
          <w:sz w:val="32"/>
          <w:szCs w:val="32"/>
          <w:lang w:val="en-US" w:eastAsia="zh-CN" w:bidi="ar"/>
        </w:rPr>
      </w:pPr>
      <w:r>
        <w:rPr>
          <w:rFonts w:hint="eastAsia" w:ascii="黑体" w:hAnsi="宋体" w:eastAsia="黑体" w:cs="黑体"/>
          <w:b/>
          <w:bCs w:val="0"/>
          <w:kern w:val="2"/>
          <w:sz w:val="32"/>
          <w:szCs w:val="32"/>
          <w:lang w:val="en-US" w:eastAsia="zh-CN" w:bidi="ar"/>
        </w:rPr>
        <w:t>第二章  基本遵循</w:t>
      </w:r>
    </w:p>
    <w:p>
      <w:pPr>
        <w:keepNext w:val="0"/>
        <w:keepLines w:val="0"/>
        <w:widowControl w:val="0"/>
        <w:suppressLineNumbers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第四条 执行珠宝首饰评估业务的资产评估机构及其珠宝评估专业人员，应当坚持独立、客观、公正的原则，诚实守信，勤勉尽责，谨慎从业，遵守职业道德规范，独立进行分析和估算并形成专业意见。</w:t>
      </w:r>
    </w:p>
    <w:p>
      <w:pPr>
        <w:keepNext w:val="0"/>
        <w:keepLines w:val="0"/>
        <w:widowControl w:val="0"/>
        <w:suppressLineNumbers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第五条 珠宝评估专业人员，除具备资产评估相关知识外，应当具备珠宝首饰专业知识和珠宝首饰评估实践经验，能够胜任所执行的珠宝首饰评估业务。</w:t>
      </w:r>
    </w:p>
    <w:p>
      <w:pPr>
        <w:keepNext w:val="0"/>
        <w:keepLines w:val="0"/>
        <w:widowControl w:val="0"/>
        <w:suppressLineNumbers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第六条 珠宝评估专业人员应当掌握珠宝玉石和贵金属的主要鉴定特征和鉴定方法，掌握珠宝玉石的品质评价要素和评价方法，掌握珠宝首饰鉴定、分类和分级的国家标准等相关法规和标准。</w:t>
      </w:r>
    </w:p>
    <w:p>
      <w:pPr>
        <w:keepNext w:val="0"/>
        <w:keepLines w:val="0"/>
        <w:widowControl w:val="0"/>
        <w:suppressLineNumbers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第七条 执行珠宝首饰评估业务，应当考虑评估目的、市场条件、评估对象特点等因素，恰当选择价值类型和评估方法，合理使用评估假设。</w:t>
      </w:r>
    </w:p>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left="0" w:right="0"/>
        <w:jc w:val="center"/>
        <w:textAlignment w:val="auto"/>
        <w:rPr>
          <w:rFonts w:hint="eastAsia" w:ascii="黑体" w:hAnsi="宋体" w:eastAsia="黑体" w:cs="黑体"/>
          <w:b/>
          <w:bCs w:val="0"/>
          <w:kern w:val="2"/>
          <w:sz w:val="32"/>
          <w:szCs w:val="32"/>
          <w:lang w:val="en-US" w:eastAsia="zh-CN" w:bidi="ar"/>
        </w:rPr>
      </w:pPr>
      <w:r>
        <w:rPr>
          <w:rFonts w:hint="eastAsia" w:ascii="黑体" w:hAnsi="宋体" w:eastAsia="黑体" w:cs="黑体"/>
          <w:b/>
          <w:bCs w:val="0"/>
          <w:kern w:val="2"/>
          <w:sz w:val="32"/>
          <w:szCs w:val="32"/>
          <w:lang w:val="en-US" w:eastAsia="zh-CN" w:bidi="ar"/>
        </w:rPr>
        <w:t>第三章  评估对象</w:t>
      </w:r>
    </w:p>
    <w:p>
      <w:pPr>
        <w:keepNext w:val="0"/>
        <w:keepLines w:val="0"/>
        <w:widowControl w:val="0"/>
        <w:suppressLineNumbers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第八条 评估对象应当为合法拥有，或者合法处置，或</w:t>
      </w:r>
    </w:p>
    <w:p>
      <w:pPr>
        <w:keepNext w:val="0"/>
        <w:keepLines w:val="0"/>
        <w:widowControl w:val="0"/>
        <w:suppressLineNumbers w:val="0"/>
        <w:adjustRightInd w:val="0"/>
        <w:snapToGrid w:val="0"/>
        <w:spacing w:before="0" w:beforeAutospacing="0" w:after="0" w:afterAutospacing="0" w:line="360" w:lineRule="auto"/>
        <w:ind w:right="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者依法裁定的珠宝首饰实物资产。</w:t>
      </w:r>
    </w:p>
    <w:p>
      <w:pPr>
        <w:keepNext w:val="0"/>
        <w:keepLines w:val="0"/>
        <w:widowControl w:val="0"/>
        <w:suppressLineNumbers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第九条 根据项目具体情况和委托人的要求，评估对象</w:t>
      </w:r>
    </w:p>
    <w:p>
      <w:pPr>
        <w:keepNext w:val="0"/>
        <w:keepLines w:val="0"/>
        <w:widowControl w:val="0"/>
        <w:suppressLineNumbers w:val="0"/>
        <w:adjustRightInd w:val="0"/>
        <w:snapToGrid w:val="0"/>
        <w:spacing w:before="0" w:beforeAutospacing="0" w:after="0" w:afterAutospacing="0" w:line="360" w:lineRule="auto"/>
        <w:ind w:right="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可以是单体珠宝首饰或者批量珠宝首饰。</w:t>
      </w:r>
    </w:p>
    <w:p>
      <w:pPr>
        <w:keepNext w:val="0"/>
        <w:keepLines w:val="0"/>
        <w:widowControl w:val="0"/>
        <w:suppressLineNumbers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批量珠宝首饰是泛指各种类别、各种数量的珠宝首饰组</w:t>
      </w:r>
    </w:p>
    <w:p>
      <w:pPr>
        <w:keepNext w:val="0"/>
        <w:keepLines w:val="0"/>
        <w:widowControl w:val="0"/>
        <w:suppressLineNumbers w:val="0"/>
        <w:adjustRightInd w:val="0"/>
        <w:snapToGrid w:val="0"/>
        <w:spacing w:before="0" w:beforeAutospacing="0" w:after="0" w:afterAutospacing="0" w:line="360" w:lineRule="auto"/>
        <w:ind w:right="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合。</w:t>
      </w:r>
    </w:p>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left="0" w:right="0"/>
        <w:jc w:val="center"/>
        <w:textAlignment w:val="auto"/>
        <w:rPr>
          <w:rFonts w:hint="eastAsia" w:ascii="黑体" w:hAnsi="宋体" w:eastAsia="黑体" w:cs="黑体"/>
          <w:b/>
          <w:bCs w:val="0"/>
          <w:kern w:val="2"/>
          <w:sz w:val="32"/>
          <w:szCs w:val="32"/>
          <w:lang w:val="en-US" w:eastAsia="zh-CN" w:bidi="ar"/>
        </w:rPr>
      </w:pPr>
      <w:r>
        <w:rPr>
          <w:rFonts w:hint="eastAsia" w:ascii="黑体" w:hAnsi="宋体" w:eastAsia="黑体" w:cs="黑体"/>
          <w:b/>
          <w:bCs w:val="0"/>
          <w:kern w:val="2"/>
          <w:sz w:val="32"/>
          <w:szCs w:val="32"/>
          <w:lang w:val="en-US" w:eastAsia="zh-CN" w:bidi="ar"/>
        </w:rPr>
        <w:t>第四章  操作要求</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right="0" w:firstLine="640" w:firstLineChars="200"/>
        <w:jc w:val="left"/>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第十条 执行珠宝首饰评估业务，应当遵守《资产评估</w:t>
      </w:r>
    </w:p>
    <w:p>
      <w:pPr>
        <w:keepNext w:val="0"/>
        <w:keepLines w:val="0"/>
        <w:widowControl w:val="0"/>
        <w:suppressLineNumbers w:val="0"/>
        <w:adjustRightInd w:val="0"/>
        <w:snapToGrid w:val="0"/>
        <w:spacing w:before="0" w:beforeAutospacing="0" w:after="0" w:afterAutospacing="0" w:line="360" w:lineRule="auto"/>
        <w:ind w:right="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执业准则——资产评估程序》，并结合珠宝首饰评估业务的具体情况，履行下列珠宝首饰评估程序：明确评估基本事项、</w:t>
      </w:r>
    </w:p>
    <w:p>
      <w:pPr>
        <w:keepNext w:val="0"/>
        <w:keepLines w:val="0"/>
        <w:widowControl w:val="0"/>
        <w:suppressLineNumbers w:val="0"/>
        <w:adjustRightInd w:val="0"/>
        <w:snapToGrid w:val="0"/>
        <w:spacing w:before="0" w:beforeAutospacing="0" w:after="0" w:afterAutospacing="0" w:line="360" w:lineRule="auto"/>
        <w:ind w:right="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订立业务委托合同、编制资产评估计划、现场核查鉴定分析、</w:t>
      </w:r>
    </w:p>
    <w:p>
      <w:pPr>
        <w:keepNext w:val="0"/>
        <w:keepLines w:val="0"/>
        <w:widowControl w:val="0"/>
        <w:suppressLineNumbers w:val="0"/>
        <w:adjustRightInd w:val="0"/>
        <w:snapToGrid w:val="0"/>
        <w:spacing w:before="0" w:beforeAutospacing="0" w:after="0" w:afterAutospacing="0" w:line="360" w:lineRule="auto"/>
        <w:ind w:right="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收集整理评估资料、评定估算形成结论、编制出具评估报告、</w:t>
      </w:r>
    </w:p>
    <w:p>
      <w:pPr>
        <w:keepNext w:val="0"/>
        <w:keepLines w:val="0"/>
        <w:widowControl w:val="0"/>
        <w:suppressLineNumbers w:val="0"/>
        <w:adjustRightInd w:val="0"/>
        <w:snapToGrid w:val="0"/>
        <w:spacing w:before="0" w:beforeAutospacing="0" w:after="0" w:afterAutospacing="0" w:line="360" w:lineRule="auto"/>
        <w:ind w:right="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整理归集评估档案。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第十一条 资产评估机构受理珠宝首饰评估业务前，应当明确珠宝首饰评估基本事项。重点关注以下方面：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（一）明确评估目的，了解珠宝首饰资产评估报告所服务的经济行为、委托人和其他相关当事人。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（二）明确评估对象和评估范围，关注评估对象的权属。珠宝评估专业人员应当对珠</w:t>
      </w:r>
      <w:bookmarkStart w:id="0" w:name="_GoBack"/>
      <w:bookmarkEnd w:id="0"/>
      <w:r>
        <w:rPr>
          <w:rFonts w:hint="eastAsia" w:ascii="仿宋" w:hAnsi="仿宋" w:eastAsia="仿宋" w:cs="仿宋"/>
          <w:kern w:val="2"/>
          <w:sz w:val="32"/>
          <w:szCs w:val="32"/>
          <w:lang w:val="en-US" w:eastAsia="zh-CN" w:bidi="ar"/>
        </w:rPr>
        <w:t>宝首饰的相关权属资料进行必要的查验。如果法律权属不清、存在瑕疵，权属关系复杂，权属资料不完备，应当要求委托人或者相关当事人对珠宝首饰的权属提供承诺函或者说明函。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（三）明确评估基准日以及资产评估报告提交期限。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（四）明确评估工作的责任，对业务风险进行综合分析和评价。如果存在超出专业胜任能力、超出可控的执业和道德风险、工作条件受到限制致使评估程序关键环节缺失等情况，资产评估机构不得受理评估业务。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第十二条 资产评估机构受理珠宝首饰评估业务应当与委托人依法订立资产评估委托合同，约定资产评估机构和委托人权利、义务、违约责任和争议解决等内容。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第十三条 执行珠宝首饰评估业务，应当编制评估计划。</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评估计划可以包括珠宝首饰评估业务实施的主要过程以及拟采用的评估方法、时间进度、珠宝评估专业人员安排等。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评估计划应当根据具体工作的推进效果进行适当调整。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第十四条 执行单体珠宝首饰评估业务，应当履行实物核查、鉴定和鉴定复核、品质和价值特征分析、描述记录等程序。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（一）实物核查。核查评估对象实物状态，完成委托样品确认或者交接。</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（二）鉴定和鉴定复核。</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1.采用现行国家标准对评估对象进行无损鉴定，例如，采用GB/T 16552、GB/T 16553等相关标准确定珠宝玉石种属类别，采用GB 11887等相关标准确定贵金属种类和含量。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2.珠宝评估专业人员对已有鉴定机构出具鉴定、分级结论的评估对象，应当进行必要的实物鉴定、分级并对已有鉴定、分级结论进行复核。</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3.特殊情况下的样品鉴定或者有损鉴定，需征得所有权人或者委托人的书面许可。</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4.对疑难样品或者存疑样品，与委托人沟通后，由双方共同认可的第三方机构进行样品鉴定。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（三）品质和价值特征分析。采用相应的国家标准以及行业标准等，对评估对象进行品质和价值特征分析。如果没有相应的国家标准以及行业分级标准，可以参照国内外市场通用的分级体系。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（四）描述记录。根据评估对象种类，对评估对象的品质和价值特征分析等进行描述记录（参照附表）。描述方式包括文字、表格、图示、照片等。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五）如果存在评估对象实物缺失、残损等情形，应当根据法律法规要求，依据有效历史信息资料，由珠宝评估专业人员确定是否执行假设条件下的评估工作。如果执行，应当在珠宝首饰资产评估报告中对实物缺失、残损等情形予以披露。</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第十五条 批量珠宝首饰评估是在单体珠宝首饰鉴定分级等工作基础上，对价值特征同质化的珠宝首饰组合或者批次，进行合理的系统性评估。执行批量珠宝首饰评估业务，应当结合单体珠宝首饰评估程序，重点履行下列程序：</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（一）批量珠宝首饰核查。根据委托人确认的珠宝首饰资产清单对实物进行核查，确认珠宝首饰的实物存在状态，尽可能收集和核实评估对象的相关信息。通常包括：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1.观察珠宝首饰的存放状况，了解管理情况，并记录。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核查珠宝首饰实物数量和品种。根据资产清单进行现场核查盘点。如果评估基准日与现场核查工作日不一致，且实物处于流通状态，可以根据委托人提供的流转数据，进行评估基准日与现场核查工作日之间的数据核对，分析并推算评估基准日资产数量，如果有偏差，判断其合理性，并记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3.收集凭证资料。对委托人提供的流转数据凭证等资料，进行核查确认，记录存档。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4.确定评估对象和评估范围。根据资产清查情况，由相关盘点和监盘人员，在资产盘点记录上签字确认。</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（二）批量珠宝首饰的鉴定分类以及描述记录，通常包括：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1.鉴定和鉴定复核。在对珠宝首饰实物进行清点核查的过程中，珠宝评估专业人员应当通过初步鉴定和专业判断，确定鉴定和鉴定复核的工作重点。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2.分类。批量珠宝首饰可以依据种属、状态（如成品、裸石、原料等）、品质特征、工艺特征等因素进行分类。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3.分类描述记录。根据珠宝首饰实物确定描述重点（参照附表）。描述方式可以采用文字、表格、图示、照片等。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对特殊的珠宝首饰,以及单体价值较高的珠宝首饰，可以根据品种、特殊品质特征、特定作者、特别产地等,进行独立分类和重点描述。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对鉴定中的疑难样品，以及已有鉴定分级证书却仍存疑的样品，与委托人沟通后，由双方共同认可的第三方机构进行样品鉴定。</w:t>
      </w:r>
    </w:p>
    <w:p>
      <w:pPr>
        <w:keepNext w:val="0"/>
        <w:keepLines w:val="0"/>
        <w:widowControl w:val="0"/>
        <w:suppressLineNumbers w:val="0"/>
        <w:adjustRightInd w:val="0"/>
        <w:snapToGrid w:val="0"/>
        <w:spacing w:before="0" w:beforeAutospacing="0" w:after="0" w:afterAutospacing="0" w:line="360" w:lineRule="auto"/>
        <w:ind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（三）批量珠宝首饰的品质和价值特征分析。根据市场</w:t>
      </w:r>
    </w:p>
    <w:p>
      <w:pPr>
        <w:keepNext w:val="0"/>
        <w:keepLines w:val="0"/>
        <w:widowControl w:val="0"/>
        <w:suppressLineNumbers w:val="0"/>
        <w:adjustRightInd w:val="0"/>
        <w:snapToGrid w:val="0"/>
        <w:spacing w:before="0" w:beforeAutospacing="0" w:after="0" w:afterAutospacing="0" w:line="360" w:lineRule="auto"/>
        <w:ind w:right="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情况和分类特点，对珠宝首饰实物分类进行品质和价值特征</w:t>
      </w:r>
    </w:p>
    <w:p>
      <w:pPr>
        <w:keepNext w:val="0"/>
        <w:keepLines w:val="0"/>
        <w:widowControl w:val="0"/>
        <w:suppressLineNumbers w:val="0"/>
        <w:adjustRightInd w:val="0"/>
        <w:snapToGrid w:val="0"/>
        <w:spacing w:before="0" w:beforeAutospacing="0" w:after="0" w:afterAutospacing="0" w:line="360" w:lineRule="auto"/>
        <w:ind w:right="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分析。对价值较高或者材质特殊的，应当重点关注和详细记</w:t>
      </w:r>
    </w:p>
    <w:p>
      <w:pPr>
        <w:keepNext w:val="0"/>
        <w:keepLines w:val="0"/>
        <w:widowControl w:val="0"/>
        <w:suppressLineNumbers w:val="0"/>
        <w:adjustRightInd w:val="0"/>
        <w:snapToGrid w:val="0"/>
        <w:spacing w:before="0" w:beforeAutospacing="0" w:after="0" w:afterAutospacing="0" w:line="360" w:lineRule="auto"/>
        <w:ind w:right="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录。</w:t>
      </w:r>
    </w:p>
    <w:p>
      <w:pPr>
        <w:keepNext w:val="0"/>
        <w:keepLines w:val="0"/>
        <w:widowControl w:val="0"/>
        <w:suppressLineNumbers w:val="0"/>
        <w:adjustRightInd w:val="0"/>
        <w:snapToGrid w:val="0"/>
        <w:spacing w:before="0" w:beforeAutospacing="0" w:after="0" w:afterAutospacing="0" w:line="360" w:lineRule="auto"/>
        <w:ind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第十六条 珠宝评估专业人员应当根据资产评估业务具体情况收集所需要的资料并对收集的资料进行专业分析，包</w:t>
      </w:r>
    </w:p>
    <w:p>
      <w:pPr>
        <w:keepNext w:val="0"/>
        <w:keepLines w:val="0"/>
        <w:widowControl w:val="0"/>
        <w:suppressLineNumbers w:val="0"/>
        <w:adjustRightInd w:val="0"/>
        <w:snapToGrid w:val="0"/>
        <w:spacing w:before="0" w:beforeAutospacing="0" w:after="0" w:afterAutospacing="0" w:line="360" w:lineRule="auto"/>
        <w:ind w:right="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括：</w:t>
      </w:r>
    </w:p>
    <w:p>
      <w:pPr>
        <w:keepNext w:val="0"/>
        <w:keepLines w:val="0"/>
        <w:widowControl w:val="0"/>
        <w:suppressLineNumbers w:val="0"/>
        <w:adjustRightInd w:val="0"/>
        <w:snapToGrid w:val="0"/>
        <w:spacing w:before="0" w:beforeAutospacing="0" w:after="0" w:afterAutospacing="0" w:line="360" w:lineRule="auto"/>
        <w:ind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（一）通过各种专业渠道收集市场信息资料，例如，市场调研记录、相关查询记录、行业资讯、专业报告、专家访谈等。</w:t>
      </w:r>
    </w:p>
    <w:p>
      <w:pPr>
        <w:keepNext w:val="0"/>
        <w:keepLines w:val="0"/>
        <w:widowControl w:val="0"/>
        <w:suppressLineNumbers w:val="0"/>
        <w:adjustRightInd w:val="0"/>
        <w:snapToGrid w:val="0"/>
        <w:spacing w:before="0" w:beforeAutospacing="0" w:after="0" w:afterAutospacing="0" w:line="360" w:lineRule="auto"/>
        <w:ind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（二）对收集的评估资料进行分析、归纳和整理，形成</w:t>
      </w:r>
    </w:p>
    <w:p>
      <w:pPr>
        <w:keepNext w:val="0"/>
        <w:keepLines w:val="0"/>
        <w:widowControl w:val="0"/>
        <w:suppressLineNumbers w:val="0"/>
        <w:adjustRightInd w:val="0"/>
        <w:snapToGrid w:val="0"/>
        <w:spacing w:before="0" w:beforeAutospacing="0" w:after="0" w:afterAutospacing="0" w:line="360" w:lineRule="auto"/>
        <w:ind w:right="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评定估算和编制资产评估报告的依据。</w:t>
      </w:r>
    </w:p>
    <w:p>
      <w:pPr>
        <w:keepNext w:val="0"/>
        <w:keepLines w:val="0"/>
        <w:widowControl w:val="0"/>
        <w:suppressLineNumbers w:val="0"/>
        <w:adjustRightInd w:val="0"/>
        <w:snapToGrid w:val="0"/>
        <w:spacing w:before="0" w:beforeAutospacing="0" w:after="0" w:afterAutospacing="0" w:line="360" w:lineRule="auto"/>
        <w:ind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（三）对于市场发育不充分、可比交易案例有限的新品</w:t>
      </w:r>
    </w:p>
    <w:p>
      <w:pPr>
        <w:keepNext w:val="0"/>
        <w:keepLines w:val="0"/>
        <w:widowControl w:val="0"/>
        <w:suppressLineNumbers w:val="0"/>
        <w:adjustRightInd w:val="0"/>
        <w:snapToGrid w:val="0"/>
        <w:spacing w:before="0" w:beforeAutospacing="0" w:after="0" w:afterAutospacing="0" w:line="360" w:lineRule="auto"/>
        <w:ind w:right="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种、特殊品种珠宝首饰，由珠宝评估专业人员确定其专业判</w:t>
      </w:r>
    </w:p>
    <w:p>
      <w:pPr>
        <w:keepNext w:val="0"/>
        <w:keepLines w:val="0"/>
        <w:widowControl w:val="0"/>
        <w:suppressLineNumbers w:val="0"/>
        <w:adjustRightInd w:val="0"/>
        <w:snapToGrid w:val="0"/>
        <w:spacing w:before="0" w:beforeAutospacing="0" w:after="0" w:afterAutospacing="0" w:line="360" w:lineRule="auto"/>
        <w:ind w:right="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断依据，并应当在报告中充分披露。</w:t>
      </w:r>
    </w:p>
    <w:p>
      <w:pPr>
        <w:keepNext w:val="0"/>
        <w:keepLines w:val="0"/>
        <w:widowControl w:val="0"/>
        <w:suppressLineNumbers w:val="0"/>
        <w:adjustRightInd w:val="0"/>
        <w:snapToGrid w:val="0"/>
        <w:spacing w:before="0" w:beforeAutospacing="0" w:after="0" w:afterAutospacing="0" w:line="360" w:lineRule="auto"/>
        <w:ind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第十七条 评定估算时，应当考虑：</w:t>
      </w:r>
    </w:p>
    <w:p>
      <w:pPr>
        <w:keepNext w:val="0"/>
        <w:keepLines w:val="0"/>
        <w:widowControl w:val="0"/>
        <w:suppressLineNumbers w:val="0"/>
        <w:adjustRightInd w:val="0"/>
        <w:snapToGrid w:val="0"/>
        <w:spacing w:before="0" w:beforeAutospacing="0" w:after="0" w:afterAutospacing="0" w:line="360" w:lineRule="auto"/>
        <w:ind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（一）根据评估目的，以及不同类型和不同状态的珠宝</w:t>
      </w:r>
    </w:p>
    <w:p>
      <w:pPr>
        <w:keepNext w:val="0"/>
        <w:keepLines w:val="0"/>
        <w:widowControl w:val="0"/>
        <w:suppressLineNumbers w:val="0"/>
        <w:adjustRightInd w:val="0"/>
        <w:snapToGrid w:val="0"/>
        <w:spacing w:before="0" w:beforeAutospacing="0" w:after="0" w:afterAutospacing="0" w:line="360" w:lineRule="auto"/>
        <w:ind w:right="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首饰特征、价值类型、资料收集等情况，选择恰当的评估方</w:t>
      </w:r>
    </w:p>
    <w:p>
      <w:pPr>
        <w:keepNext w:val="0"/>
        <w:keepLines w:val="0"/>
        <w:widowControl w:val="0"/>
        <w:suppressLineNumbers w:val="0"/>
        <w:adjustRightInd w:val="0"/>
        <w:snapToGrid w:val="0"/>
        <w:spacing w:before="0" w:beforeAutospacing="0" w:after="0" w:afterAutospacing="0" w:line="360" w:lineRule="auto"/>
        <w:ind w:right="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法。</w:t>
      </w:r>
    </w:p>
    <w:p>
      <w:pPr>
        <w:keepNext w:val="0"/>
        <w:keepLines w:val="0"/>
        <w:widowControl w:val="0"/>
        <w:suppressLineNumbers w:val="0"/>
        <w:adjustRightInd w:val="0"/>
        <w:snapToGrid w:val="0"/>
        <w:spacing w:before="0" w:beforeAutospacing="0" w:after="0" w:afterAutospacing="0" w:line="360" w:lineRule="auto"/>
        <w:ind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（二）根据珠宝首饰的类型以及特点，结合评估目的、</w:t>
      </w:r>
    </w:p>
    <w:p>
      <w:pPr>
        <w:keepNext w:val="0"/>
        <w:keepLines w:val="0"/>
        <w:widowControl w:val="0"/>
        <w:suppressLineNumbers w:val="0"/>
        <w:adjustRightInd w:val="0"/>
        <w:snapToGrid w:val="0"/>
        <w:spacing w:before="0" w:beforeAutospacing="0" w:after="0" w:afterAutospacing="0" w:line="360" w:lineRule="auto"/>
        <w:ind w:right="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评估基准日市场行情、权属状况，分析确定评估参数或者评</w:t>
      </w:r>
    </w:p>
    <w:p>
      <w:pPr>
        <w:keepNext w:val="0"/>
        <w:keepLines w:val="0"/>
        <w:widowControl w:val="0"/>
        <w:suppressLineNumbers w:val="0"/>
        <w:adjustRightInd w:val="0"/>
        <w:snapToGrid w:val="0"/>
        <w:spacing w:before="0" w:beforeAutospacing="0" w:after="0" w:afterAutospacing="0" w:line="360" w:lineRule="auto"/>
        <w:ind w:right="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估参数范围。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批量珠宝首饰的评估参数，应当根据现场工作所进行的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分类，分别确定评估参数或者评估参数范围。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（三）批量珠宝首饰估算时，应当依据品种和分类，分别对评估参数以及评估结论等进行分析、判断以及审核。</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第十八条 编制出具资产评估报告，应当根据法律法规、委托人要求、评估对象特点、评估工作复杂程度等，根据《资产评估执业准则——资产评估报告》和《资产评估执业准则——珠宝首饰》确定资产评估报告的形式、内容和详略程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（一）珠宝评估专业人员应当在评定、估算形成评估结论后，编制初步资产评估报告。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资产评估报告应当以珠宝鉴定和品质分析为基础，体现珠宝评估工作的专业性，如实表述珠宝首饰实物鉴定、品质特点、价值特征等。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资产评估报告除对评估背景、评估项目情况进行描述外，还应当对评估过程中发现的，可能影响评估结论的重大事项进行披露。</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（二）对初步资产评估报告进行内部审核。</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三）资产评估机构出具资产评估报告前，在不影响对评估结论进行独立判断的前提下，可以与委托人或者委托人同意的其他相关当事人就资产评估报告有关内容进行沟通，对沟通情况进行独立分析，并决定是否对资产评估报告进行调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（四）出具资产评估报告应当由至少两名承办该项业务的珠宝评估专业人员签名并加盖资产评估机构印章。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法定评估业务的资产评估报告应当由至少两名承办该项业务的资产评估师（珠宝）签名并加盖资产评估机构印章。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第十九条 根据《资产评估执业准则——资产评估档案》的要求，形成珠宝首饰评估档案。珠宝首饰评估档案通常包括：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（一）工作底稿。包括评估过程使用的资料，例如，往来函件、备忘录；评估过程产生的数据和图片，例如，现场工作、鉴定资料、市场调研、分析估算的依据和形成的意见或者结论等。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二）资产评估报告以及其他相关资料。纳入珠宝首饰评估档案的资产评估报告应当包括初步珠宝首饰资产评估报告和正式珠宝首饰资产评估报告。资产评估委托合同、资产评估报告应当形成纸质文档，其他相关资料可以是纸质文档、电子文档或者其他介质形式，例如，实物样品等。</w:t>
      </w:r>
    </w:p>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left="0" w:right="0"/>
        <w:jc w:val="center"/>
        <w:textAlignment w:val="auto"/>
        <w:rPr>
          <w:rFonts w:hint="eastAsia" w:ascii="黑体" w:hAnsi="宋体" w:eastAsia="黑体" w:cs="黑体"/>
          <w:b/>
          <w:bCs w:val="0"/>
          <w:kern w:val="2"/>
          <w:sz w:val="32"/>
          <w:szCs w:val="32"/>
          <w:lang w:val="en-US" w:eastAsia="zh-CN" w:bidi="ar"/>
        </w:rPr>
      </w:pPr>
      <w:r>
        <w:rPr>
          <w:rFonts w:hint="eastAsia" w:ascii="黑体" w:hAnsi="宋体" w:eastAsia="黑体" w:cs="黑体"/>
          <w:b/>
          <w:bCs w:val="0"/>
          <w:kern w:val="2"/>
          <w:sz w:val="32"/>
          <w:szCs w:val="32"/>
          <w:lang w:val="en-US" w:eastAsia="zh-CN" w:bidi="ar"/>
        </w:rPr>
        <w:t>第五章  附则</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第二十条 本指导意见自2020年3月1日起施行。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both"/>
        <w:textAlignment w:val="auto"/>
        <w:rPr>
          <w:rFonts w:hint="eastAsia" w:ascii="仿宋" w:hAnsi="仿宋" w:eastAsia="仿宋" w:cs="仿宋"/>
          <w:kern w:val="2"/>
          <w:sz w:val="32"/>
          <w:szCs w:val="32"/>
          <w:lang w:val="en-US" w:eastAsia="zh-CN" w:bidi="ar"/>
        </w:rPr>
        <w:sectPr>
          <w:footerReference r:id="rId3" w:type="default"/>
          <w:pgSz w:w="11850" w:h="16783"/>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2"/>
          <w:sz w:val="32"/>
          <w:szCs w:val="32"/>
          <w:lang w:val="en-US" w:eastAsia="zh-CN" w:bidi="ar"/>
        </w:rPr>
        <w:t>附表：珠宝首饰重点描述内容表</w:t>
      </w:r>
    </w:p>
    <w:p>
      <w:pPr>
        <w:keepNext w:val="0"/>
        <w:keepLines w:val="0"/>
        <w:widowControl w:val="0"/>
        <w:suppressLineNumbers w:val="0"/>
        <w:spacing w:before="0" w:beforeAutospacing="0" w:after="0" w:afterAutospacing="0" w:line="360" w:lineRule="auto"/>
        <w:ind w:left="0" w:right="840" w:rightChars="400"/>
        <w:jc w:val="left"/>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附表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center"/>
        <w:textAlignment w:val="auto"/>
        <w:rPr>
          <w:rFonts w:hint="eastAsia" w:ascii="仿宋" w:hAnsi="仿宋" w:eastAsia="仿宋" w:cs="仿宋"/>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right="0" w:firstLine="640" w:firstLineChars="200"/>
        <w:jc w:val="center"/>
        <w:textAlignment w:val="auto"/>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珠宝首饰重点描述内容表</w:t>
      </w:r>
    </w:p>
    <w:tbl>
      <w:tblPr>
        <w:tblStyle w:val="6"/>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7"/>
        <w:gridCol w:w="3795"/>
        <w:gridCol w:w="3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77" w:type="dxa"/>
          </w:tcPr>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jc w:val="center"/>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评估对象</w:t>
            </w:r>
          </w:p>
        </w:tc>
        <w:tc>
          <w:tcPr>
            <w:tcW w:w="3795" w:type="dxa"/>
          </w:tcPr>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0" w:firstLineChars="0"/>
              <w:jc w:val="center"/>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观察描述的重点</w:t>
            </w:r>
          </w:p>
        </w:tc>
        <w:tc>
          <w:tcPr>
            <w:tcW w:w="3105" w:type="dxa"/>
          </w:tcPr>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0" w:firstLineChars="0"/>
              <w:jc w:val="center"/>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主要参考依据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677" w:type="dxa"/>
          </w:tcPr>
          <w:p>
            <w:pPr>
              <w:keepNext w:val="0"/>
              <w:keepLines w:val="0"/>
              <w:pageBreakBefore w:val="0"/>
              <w:widowControl w:val="0"/>
              <w:suppressLineNumbers w:val="0"/>
              <w:kinsoku/>
              <w:wordWrap/>
              <w:overflowPunct/>
              <w:topLinePunct w:val="0"/>
              <w:autoSpaceDE/>
              <w:autoSpaceDN/>
              <w:bidi w:val="0"/>
              <w:adjustRightInd w:val="0"/>
              <w:snapToGrid w:val="0"/>
              <w:spacing w:before="469" w:beforeLines="150" w:beforeAutospacing="0" w:after="0" w:afterAutospacing="0" w:line="360" w:lineRule="auto"/>
              <w:ind w:left="0" w:right="0"/>
              <w:jc w:val="center"/>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贵金属</w:t>
            </w:r>
          </w:p>
        </w:tc>
        <w:tc>
          <w:tcPr>
            <w:tcW w:w="3795" w:type="dxa"/>
          </w:tcPr>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质量、标识印记、贵金属含量、工艺质量等</w:t>
            </w:r>
          </w:p>
        </w:tc>
        <w:tc>
          <w:tcPr>
            <w:tcW w:w="3105" w:type="dxa"/>
          </w:tcPr>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GB 11887、QB/T 2062、QB/T 4189等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tcPr>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jc w:val="center"/>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钻石</w:t>
            </w:r>
          </w:p>
        </w:tc>
        <w:tc>
          <w:tcPr>
            <w:tcW w:w="3795" w:type="dxa"/>
          </w:tcPr>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jc w:val="center"/>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4"/>
                <w:szCs w:val="24"/>
                <w:lang w:val="en-US" w:eastAsia="zh-CN" w:bidi="ar"/>
              </w:rPr>
              <w:t xml:space="preserve"> 质量、颜色、净度、切工等</w:t>
            </w:r>
          </w:p>
        </w:tc>
        <w:tc>
          <w:tcPr>
            <w:tcW w:w="3105" w:type="dxa"/>
          </w:tcPr>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4"/>
                <w:szCs w:val="24"/>
                <w:lang w:val="en-US" w:eastAsia="zh-CN" w:bidi="ar"/>
              </w:rPr>
              <w:t>GB/T 16554、GB/T 34543等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677" w:type="dxa"/>
          </w:tcPr>
          <w:p>
            <w:pPr>
              <w:keepNext w:val="0"/>
              <w:keepLines w:val="0"/>
              <w:pageBreakBefore w:val="0"/>
              <w:widowControl w:val="0"/>
              <w:suppressLineNumbers w:val="0"/>
              <w:kinsoku/>
              <w:wordWrap/>
              <w:overflowPunct/>
              <w:topLinePunct w:val="0"/>
              <w:autoSpaceDE/>
              <w:autoSpaceDN/>
              <w:bidi w:val="0"/>
              <w:adjustRightInd w:val="0"/>
              <w:snapToGrid w:val="0"/>
              <w:spacing w:before="469" w:beforeLines="150" w:beforeAutospacing="0" w:after="0" w:afterAutospacing="0" w:line="360" w:lineRule="auto"/>
              <w:ind w:left="0" w:right="0"/>
              <w:jc w:val="center"/>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彩色宝石</w:t>
            </w:r>
          </w:p>
        </w:tc>
        <w:tc>
          <w:tcPr>
            <w:tcW w:w="3795" w:type="dxa"/>
          </w:tcPr>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4"/>
                <w:szCs w:val="24"/>
                <w:lang w:val="en-US" w:eastAsia="zh-CN" w:bidi="ar"/>
              </w:rPr>
              <w:t>品种、质量、颜色、光泽、净度、火彩、切工特征等</w:t>
            </w:r>
          </w:p>
        </w:tc>
        <w:tc>
          <w:tcPr>
            <w:tcW w:w="3105" w:type="dxa"/>
          </w:tcPr>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4"/>
                <w:szCs w:val="24"/>
                <w:lang w:val="en-US" w:eastAsia="zh-CN" w:bidi="ar"/>
              </w:rPr>
              <w:t>GB/T 32862、GB/T 32863、GB/T 34545等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677" w:type="dxa"/>
          </w:tcPr>
          <w:p>
            <w:pPr>
              <w:keepNext w:val="0"/>
              <w:keepLines w:val="0"/>
              <w:pageBreakBefore w:val="0"/>
              <w:widowControl w:val="0"/>
              <w:suppressLineNumbers w:val="0"/>
              <w:kinsoku/>
              <w:wordWrap/>
              <w:overflowPunct/>
              <w:topLinePunct w:val="0"/>
              <w:autoSpaceDE/>
              <w:autoSpaceDN/>
              <w:bidi w:val="0"/>
              <w:adjustRightInd w:val="0"/>
              <w:snapToGrid w:val="0"/>
              <w:spacing w:before="469" w:beforeLines="150" w:beforeAutospacing="0" w:after="0" w:afterAutospacing="0" w:line="360" w:lineRule="auto"/>
              <w:ind w:left="0" w:right="0"/>
              <w:jc w:val="center"/>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玉石</w:t>
            </w:r>
          </w:p>
        </w:tc>
        <w:tc>
          <w:tcPr>
            <w:tcW w:w="3795" w:type="dxa"/>
          </w:tcPr>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4"/>
                <w:szCs w:val="24"/>
                <w:lang w:val="en-US" w:eastAsia="zh-CN" w:bidi="ar"/>
              </w:rPr>
              <w:t>品种、质量、颜色、透明度、结构、质地、净度、工艺等</w:t>
            </w:r>
          </w:p>
        </w:tc>
        <w:tc>
          <w:tcPr>
            <w:tcW w:w="3105" w:type="dxa"/>
          </w:tcPr>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4"/>
                <w:szCs w:val="24"/>
                <w:lang w:val="en-US" w:eastAsia="zh-CN" w:bidi="ar"/>
              </w:rPr>
              <w:t>GB/T 23885、GSB16-3061等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1677" w:type="dxa"/>
          </w:tcPr>
          <w:p>
            <w:pPr>
              <w:keepNext w:val="0"/>
              <w:keepLines w:val="0"/>
              <w:pageBreakBefore w:val="0"/>
              <w:widowControl w:val="0"/>
              <w:suppressLineNumbers w:val="0"/>
              <w:kinsoku/>
              <w:wordWrap/>
              <w:overflowPunct/>
              <w:topLinePunct w:val="0"/>
              <w:autoSpaceDE/>
              <w:autoSpaceDN/>
              <w:bidi w:val="0"/>
              <w:adjustRightInd w:val="0"/>
              <w:snapToGrid w:val="0"/>
              <w:spacing w:before="469" w:beforeLines="150" w:beforeAutospacing="0" w:after="0" w:afterAutospacing="0" w:line="360" w:lineRule="auto"/>
              <w:ind w:left="0" w:right="0"/>
              <w:jc w:val="center"/>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珍珠</w:t>
            </w:r>
          </w:p>
        </w:tc>
        <w:tc>
          <w:tcPr>
            <w:tcW w:w="3795" w:type="dxa"/>
          </w:tcPr>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4"/>
                <w:szCs w:val="24"/>
                <w:lang w:val="en-US" w:eastAsia="zh-CN" w:bidi="ar"/>
              </w:rPr>
              <w:t>颜色、大小、形状、光泽、光洁度、珠层厚度、匹配度等</w:t>
            </w:r>
          </w:p>
        </w:tc>
        <w:tc>
          <w:tcPr>
            <w:tcW w:w="3105" w:type="dxa"/>
          </w:tcPr>
          <w:p>
            <w:pPr>
              <w:keepNext w:val="0"/>
              <w:keepLines w:val="0"/>
              <w:widowControl/>
              <w:suppressLineNumbers w:val="0"/>
              <w:spacing w:before="0" w:beforeAutospacing="0" w:after="0" w:afterAutospacing="0"/>
              <w:ind w:left="0" w:right="0"/>
              <w:jc w:val="left"/>
            </w:pPr>
            <w:r>
              <w:rPr>
                <w:rFonts w:ascii="仿宋" w:hAnsi="仿宋" w:eastAsia="仿宋" w:cs="仿宋"/>
                <w:color w:val="000000"/>
                <w:kern w:val="0"/>
                <w:sz w:val="24"/>
                <w:szCs w:val="24"/>
                <w:lang w:val="en-US" w:eastAsia="zh-CN" w:bidi="ar"/>
              </w:rPr>
              <w:t>GB/T 18781等</w:t>
            </w:r>
          </w:p>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jc w:val="center"/>
              <w:textAlignment w:val="auto"/>
              <w:rPr>
                <w:rFonts w:hint="eastAsia" w:ascii="仿宋" w:hAnsi="仿宋" w:eastAsia="仿宋" w:cs="仿宋"/>
                <w:kern w:val="2"/>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677" w:type="dxa"/>
          </w:tcPr>
          <w:p>
            <w:pPr>
              <w:keepNext w:val="0"/>
              <w:keepLines w:val="0"/>
              <w:pageBreakBefore w:val="0"/>
              <w:widowControl w:val="0"/>
              <w:suppressLineNumbers w:val="0"/>
              <w:kinsoku/>
              <w:wordWrap/>
              <w:overflowPunct/>
              <w:topLinePunct w:val="0"/>
              <w:autoSpaceDE/>
              <w:autoSpaceDN/>
              <w:bidi w:val="0"/>
              <w:adjustRightInd w:val="0"/>
              <w:snapToGrid w:val="0"/>
              <w:spacing w:before="469" w:beforeLines="150" w:beforeAutospacing="0" w:after="0" w:afterAutospacing="0" w:line="360" w:lineRule="auto"/>
              <w:ind w:left="0" w:right="0"/>
              <w:jc w:val="center"/>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镶嵌饰品</w:t>
            </w:r>
          </w:p>
        </w:tc>
        <w:tc>
          <w:tcPr>
            <w:tcW w:w="3795" w:type="dxa"/>
          </w:tcPr>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4"/>
                <w:szCs w:val="24"/>
                <w:lang w:val="en-US" w:eastAsia="zh-CN" w:bidi="ar"/>
              </w:rPr>
              <w:t xml:space="preserve">底托、珠宝玉石、镶嵌方式、工艺、来源出处、状况等 </w:t>
            </w:r>
          </w:p>
        </w:tc>
        <w:tc>
          <w:tcPr>
            <w:tcW w:w="3105" w:type="dxa"/>
          </w:tcPr>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4"/>
                <w:szCs w:val="24"/>
                <w:lang w:val="en-US" w:eastAsia="zh-CN" w:bidi="ar"/>
              </w:rPr>
              <w:t>GB 11887、GB/T 16552、GB/T16553等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677" w:type="dxa"/>
          </w:tcPr>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jc w:val="center"/>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其他</w:t>
            </w:r>
          </w:p>
        </w:tc>
        <w:tc>
          <w:tcPr>
            <w:tcW w:w="3795" w:type="dxa"/>
          </w:tcPr>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0" w:firstLineChars="20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4"/>
                <w:szCs w:val="24"/>
                <w:lang w:val="en-US" w:eastAsia="zh-CN" w:bidi="ar"/>
              </w:rPr>
              <w:t>根据评估对象品质要素的特点进行描述</w:t>
            </w:r>
          </w:p>
        </w:tc>
        <w:tc>
          <w:tcPr>
            <w:tcW w:w="3105"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kern w:val="2"/>
                <w:sz w:val="28"/>
                <w:szCs w:val="28"/>
                <w:lang w:val="en-US" w:eastAsia="zh-CN" w:bidi="ar"/>
              </w:rPr>
            </w:pPr>
            <w:r>
              <w:rPr>
                <w:rFonts w:ascii="仿宋" w:hAnsi="仿宋" w:eastAsia="仿宋" w:cs="仿宋"/>
                <w:color w:val="000000"/>
                <w:kern w:val="0"/>
                <w:sz w:val="24"/>
                <w:szCs w:val="24"/>
                <w:lang w:val="en-US" w:eastAsia="zh-CN" w:bidi="ar"/>
              </w:rPr>
              <w:t xml:space="preserve">GB/T 36168、GB/T 36169、GB/T </w:t>
            </w:r>
            <w:r>
              <w:rPr>
                <w:rFonts w:hint="eastAsia" w:ascii="仿宋" w:hAnsi="仿宋" w:eastAsia="仿宋" w:cs="仿宋"/>
                <w:color w:val="000000"/>
                <w:kern w:val="0"/>
                <w:sz w:val="24"/>
                <w:szCs w:val="24"/>
                <w:lang w:val="en-US" w:eastAsia="zh-CN" w:bidi="ar"/>
              </w:rPr>
              <w:t>36127等</w:t>
            </w:r>
          </w:p>
        </w:tc>
      </w:tr>
    </w:tbl>
    <w:p>
      <w:pPr>
        <w:keepNext w:val="0"/>
        <w:keepLines w:val="0"/>
        <w:widowControl w:val="0"/>
        <w:suppressLineNumbers w:val="0"/>
        <w:spacing w:before="0" w:beforeAutospacing="0" w:after="0" w:afterAutospacing="0" w:line="360" w:lineRule="auto"/>
        <w:ind w:left="0" w:right="840" w:rightChars="400"/>
        <w:jc w:val="left"/>
        <w:rPr>
          <w:rFonts w:hint="eastAsia" w:ascii="黑体" w:hAnsi="宋体" w:eastAsia="黑体" w:cs="黑体"/>
          <w:kern w:val="2"/>
          <w:sz w:val="32"/>
          <w:szCs w:val="32"/>
          <w:lang w:val="en-US" w:eastAsia="zh-CN" w:bidi="ar"/>
        </w:rPr>
      </w:pPr>
    </w:p>
    <w:p>
      <w:pPr>
        <w:keepNext w:val="0"/>
        <w:keepLines w:val="0"/>
        <w:widowControl w:val="0"/>
        <w:suppressLineNumbers w:val="0"/>
        <w:adjustRightInd w:val="0"/>
        <w:snapToGrid w:val="0"/>
        <w:spacing w:before="0" w:beforeAutospacing="0" w:after="0" w:afterAutospacing="0" w:line="360" w:lineRule="auto"/>
        <w:ind w:right="0"/>
        <w:jc w:val="both"/>
        <w:rPr>
          <w:rFonts w:hint="eastAsia" w:ascii="仿宋" w:hAnsi="仿宋" w:eastAsia="仿宋" w:cs="仿宋"/>
          <w:kern w:val="2"/>
          <w:sz w:val="32"/>
          <w:szCs w:val="32"/>
          <w:lang w:val="en-US" w:eastAsia="zh-CN" w:bidi="ar"/>
        </w:rPr>
      </w:pPr>
    </w:p>
    <w:sectPr>
      <w:pgSz w:w="11850" w:h="16783"/>
      <w:pgMar w:top="1440" w:right="1800" w:bottom="1440" w:left="1800" w:header="720" w:footer="72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-104775</wp:posOffset>
              </wp:positionV>
              <wp:extent cx="379095" cy="2114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79095" cy="2114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8.25pt;height:16.65pt;width:29.85pt;mso-position-horizontal:outside;mso-position-horizontal-relative:margin;z-index:251658240;mso-width-relative:page;mso-height-relative:page;" filled="f" stroked="f" coordsize="21600,21600" o:gfxdata="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LQayNUAAAAGAQAA&#10;DwAAAAAAAAABACAAAAAiAAAAZHJzL2Rvd25yZXYueG1sUEsBAhQAFAAAAAgAh07iQJyHR9AcAgAA&#10;EwQAAA4AAAAAAAAAAQAgAAAAJAEAAGRycy9lMm9Eb2MueG1sUEsFBgAAAAAGAAYAWQEAALIFAAAA&#10;AA==&#10;">
              <v:fill on="f" focussize="0,0"/>
              <v:stroke on="f" weight="0.5pt"/>
              <v:imagedata o:title=""/>
              <o:lock v:ext="edit" aspectratio="f"/>
              <v:textbox inset="0mm,0mm,0mm,0mm">
                <w:txbxContent>
                  <w:p>
                    <w:pPr>
                      <w:pStyle w:val="3"/>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74404"/>
    <w:rsid w:val="1315370A"/>
    <w:rsid w:val="3491511D"/>
    <w:rsid w:val="3F974404"/>
    <w:rsid w:val="577A69A9"/>
    <w:rsid w:val="6ABF5C2D"/>
    <w:rsid w:val="6F330458"/>
    <w:rsid w:val="728F1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character" w:default="1" w:styleId="7">
    <w:name w:val="Default Paragraph Font"/>
    <w:semiHidden/>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1 Char"/>
    <w:basedOn w:val="7"/>
    <w:link w:val="2"/>
    <w:qFormat/>
    <w:uiPriority w:val="0"/>
    <w:rPr>
      <w:rFonts w:hint="default" w:ascii="Times New Roman" w:hAnsi="Times New Roman" w:eastAsia="宋体" w:cs="Times New Roman"/>
      <w:b/>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2020-01-06T08:15:00Z</dcterms:created>
  <dc:creator>win7</dc:creator>
  <cp:lastModifiedBy>win7</cp:lastModifiedBy>
  <dcterms:modified xsi:type="dcterms:W3CDTF">2020-01-06T10:01:52Z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